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山西省工业炉窑大气污染综合治理实施方案</w:t>
      </w:r>
    </w:p>
    <w:p>
      <w:pPr>
        <w:jc w:val="center"/>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生态环境部、国家发展和改革委员会、工信部、财政部联合印发的《工业炉窑大气污染综合治理方案》（环大气〔2019〕56号，以下简称《方案》）以及《山西省打赢蓝天保卫战三年行动计划》，按照全面推进与突出重点相结合、结构优化与深度治理相结合、严格监管与激励引导相结合的原则，通过“淘汰一批、替代一批、治理一批”，推进我省工业炉窑大气污染综合治理，实现工业行业二氧化硫、氮氧化物、颗粒物等污染物排放进一步下降，协同控制温室气体排放，促进钢铁、建材等重点行业二氧化碳排放总量得到有效控制，推动环境空气质量持续改善和产业高质量发展，制定本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一、综合整治范围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包括熔炼炉、熔化炉、焙（煅）烧炉（窑）、加热炉、热处理炉、干燥炉（窑）、焦炉、煤气发生炉等八类（见附件1）。涉及钢铁、焦化、有色、建材、石化、化工、机械制造等7大行业，31个子行业。</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重点整治任务</w:t>
      </w:r>
    </w:p>
    <w:p>
      <w:pPr>
        <w:pStyle w:val="5"/>
        <w:keepNext w:val="0"/>
        <w:keepLines w:val="0"/>
        <w:widowControl/>
        <w:suppressLineNumbers w:val="0"/>
        <w:spacing w:line="540" w:lineRule="atLeast"/>
        <w:rPr>
          <w:rFonts w:hint="default" w:ascii="仿宋_GB2312" w:hAnsi="仿宋_GB2312" w:eastAsia="仿宋_GB2312" w:cs="仿宋_GB2312"/>
          <w:kern w:val="2"/>
          <w:sz w:val="32"/>
          <w:szCs w:val="32"/>
          <w:lang w:val="en-US" w:eastAsia="zh-CN" w:bidi="ar-SA"/>
        </w:rPr>
      </w:pPr>
      <w:r>
        <w:rPr>
          <w:rFonts w:hint="eastAsia" w:ascii="微软雅黑" w:hAnsi="微软雅黑" w:eastAsia="微软雅黑" w:cs="微软雅黑"/>
          <w:color w:val="000000"/>
          <w:sz w:val="24"/>
          <w:szCs w:val="24"/>
          <w:shd w:val="clear" w:fill="FFFFFF"/>
        </w:rPr>
        <w:t>　</w:t>
      </w:r>
      <w:r>
        <w:rPr>
          <w:rFonts w:hint="eastAsia" w:ascii="微软雅黑" w:hAnsi="微软雅黑" w:eastAsia="微软雅黑" w:cs="微软雅黑"/>
          <w:color w:val="000000"/>
          <w:sz w:val="24"/>
          <w:szCs w:val="24"/>
          <w:shd w:val="clear" w:fill="FFFFFF"/>
          <w:lang w:val="en-US" w:eastAsia="zh-CN"/>
        </w:rPr>
        <w:t xml:space="preserve">  </w:t>
      </w:r>
      <w:r>
        <w:rPr>
          <w:rFonts w:hint="eastAsia" w:ascii="微软雅黑" w:hAnsi="微软雅黑" w:eastAsia="微软雅黑" w:cs="微软雅黑"/>
          <w:b/>
          <w:bCs/>
          <w:color w:val="000000"/>
          <w:sz w:val="24"/>
          <w:szCs w:val="24"/>
          <w:shd w:val="clear" w:fill="FFFFFF"/>
          <w:lang w:val="en-US" w:eastAsia="zh-CN"/>
        </w:rPr>
        <w:t xml:space="preserve"> </w:t>
      </w:r>
      <w:r>
        <w:rPr>
          <w:rFonts w:hint="eastAsia" w:ascii="楷体" w:hAnsi="楷体" w:eastAsia="楷体" w:cs="楷体"/>
          <w:b/>
          <w:bCs/>
          <w:kern w:val="2"/>
          <w:sz w:val="32"/>
          <w:szCs w:val="32"/>
          <w:lang w:val="en-US" w:eastAsia="zh-CN" w:bidi="ar-SA"/>
        </w:rPr>
        <w:t>（一）严格建设项目环境准入。</w:t>
      </w:r>
      <w:r>
        <w:rPr>
          <w:rFonts w:hint="eastAsia" w:ascii="仿宋_GB2312" w:hAnsi="仿宋_GB2312" w:eastAsia="仿宋_GB2312" w:cs="仿宋_GB2312"/>
          <w:kern w:val="2"/>
          <w:sz w:val="32"/>
          <w:szCs w:val="32"/>
          <w:lang w:val="en-US" w:eastAsia="zh-CN" w:bidi="ar-SA"/>
        </w:rPr>
        <w:t>新建涉工业炉窑的建设项目，原则上要入园区，并符合园区规划环境影响评价要求，配套建设高效环保治理设施。落实我省相关产业政策及产能置换办法。严禁新增钢铁、焦化、铸造、水泥、平板玻璃等产能，禁止新建燃料类煤气发生炉（园区现有企业统一建设的清洁煤制气中心除外）。</w:t>
      </w:r>
    </w:p>
    <w:p>
      <w:pPr>
        <w:pStyle w:val="5"/>
        <w:keepNext w:val="0"/>
        <w:keepLines w:val="0"/>
        <w:widowControl/>
        <w:suppressLineNumbers w:val="0"/>
        <w:spacing w:line="540" w:lineRule="atLeast"/>
        <w:ind w:firstLine="640"/>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（二）加大落后产能和不达标工业炉窑淘汰力度。</w:t>
      </w:r>
      <w:r>
        <w:rPr>
          <w:rFonts w:hint="eastAsia" w:ascii="仿宋_GB2312" w:hAnsi="仿宋_GB2312" w:eastAsia="仿宋_GB2312" w:cs="仿宋_GB2312"/>
          <w:kern w:val="2"/>
          <w:sz w:val="32"/>
          <w:szCs w:val="32"/>
          <w:lang w:val="en-US" w:eastAsia="zh-CN" w:bidi="ar-SA"/>
        </w:rPr>
        <w:t>全面</w:t>
      </w:r>
      <w:r>
        <w:rPr>
          <w:rFonts w:hint="eastAsia" w:ascii="仿宋_GB2312" w:hAnsi="仿宋_GB2312" w:eastAsia="仿宋_GB2312" w:cs="仿宋_GB2312"/>
          <w:sz w:val="32"/>
          <w:szCs w:val="32"/>
          <w:lang w:val="en-US" w:eastAsia="zh-CN"/>
        </w:rPr>
        <w:t>清理《产业结构调整指导目录》淘汰类工业炉窑，加快推进限制类工业炉窑升级改造。落实《山西省焦化行业压减过剩产能打好污染防治攻坚战行动方案》。</w:t>
      </w:r>
      <w:r>
        <w:rPr>
          <w:rFonts w:hint="eastAsia" w:ascii="仿宋_GB2312" w:hAnsi="仿宋_GB2312" w:eastAsia="仿宋_GB2312" w:cs="仿宋_GB2312"/>
          <w:color w:val="auto"/>
          <w:sz w:val="32"/>
          <w:szCs w:val="32"/>
          <w:lang w:val="en-US" w:eastAsia="zh-CN"/>
        </w:rPr>
        <w:t>加快淘汰炭化室高度4.3米、运行10年以上焦炉淘汰步伐，位于太原“1+30”联防联控区域范围内的2020年9月底前淘汰（涉及民生供气保障的暂时除外）。</w:t>
      </w:r>
      <w:r>
        <w:rPr>
          <w:rFonts w:hint="eastAsia" w:ascii="仿宋_GB2312" w:hAnsi="仿宋_GB2312" w:eastAsia="仿宋_GB2312" w:cs="仿宋_GB2312"/>
          <w:sz w:val="32"/>
          <w:szCs w:val="32"/>
          <w:lang w:val="en-US" w:eastAsia="zh-CN"/>
        </w:rPr>
        <w:t>对热效率低下、敞开未封闭，装备简易落后、自动化程度低，无组织排放突出，以及无治理设施或治理设施工艺落后等严重污染环境的工业炉窑，依法责令停业关闭。</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（三）</w:t>
      </w:r>
      <w:r>
        <w:rPr>
          <w:rFonts w:hint="eastAsia" w:ascii="楷体" w:hAnsi="楷体" w:eastAsia="楷体" w:cs="楷体"/>
          <w:b/>
          <w:bCs/>
          <w:color w:val="000000"/>
          <w:sz w:val="32"/>
          <w:szCs w:val="32"/>
          <w:shd w:val="clear" w:fill="FFFFFF"/>
        </w:rPr>
        <w:t>加快燃料清洁低碳化替代。</w:t>
      </w:r>
      <w:r>
        <w:rPr>
          <w:rFonts w:hint="eastAsia" w:ascii="仿宋_GB2312" w:hAnsi="仿宋_GB2312" w:eastAsia="仿宋_GB2312" w:cs="仿宋_GB2312"/>
          <w:sz w:val="32"/>
          <w:szCs w:val="32"/>
          <w:lang w:val="en-US" w:eastAsia="zh-CN"/>
        </w:rPr>
        <w:t>2020年6月底前，工业炉窑完成燃料清洁低碳化替代，以清洁低碳能源以及工厂余热、电厂热力等替代煤、石油焦、渣油、重油等燃料。禁止掺烧高硫石油焦（硫含量大于3%），玻璃行业全面禁止掺烧高硫石油焦。加大煤气发生炉淘汰力度，2019年底前全省淘汰炉膛直径3米以下燃料类煤气发生炉；</w:t>
      </w:r>
      <w:r>
        <w:rPr>
          <w:rFonts w:hint="eastAsia" w:ascii="仿宋_GB2312" w:hAnsi="仿宋_GB2312" w:eastAsia="仿宋_GB2312" w:cs="仿宋_GB2312"/>
          <w:color w:val="auto"/>
          <w:sz w:val="32"/>
          <w:szCs w:val="32"/>
          <w:lang w:val="en-US" w:eastAsia="zh-CN"/>
        </w:rPr>
        <w:t>2020年6月底前重点区域（京津冀及周边地区4市和汾渭平原4市，以下相同）基本淘汰化肥行业固定床间歇式煤气化炉；</w:t>
      </w:r>
      <w:r>
        <w:rPr>
          <w:rFonts w:hint="eastAsia" w:ascii="仿宋_GB2312" w:hAnsi="仿宋_GB2312" w:eastAsia="仿宋_GB2312" w:cs="仿宋_GB2312"/>
          <w:sz w:val="32"/>
          <w:szCs w:val="32"/>
          <w:lang w:val="en-US" w:eastAsia="zh-CN"/>
        </w:rPr>
        <w:t>集中使用煤气发生炉的工业园区，暂不具备改用天然气条件的，2019年底前启动建设统一的清洁煤制气中心。加快淘汰燃煤工业炉窑，重点区域2019年底取缔燃煤热风炉，基本淘汰热电联产供热管网覆盖范围内的燃煤加热、烘干炉（窑）。2020年6月底前全省铸造（10吨/小时及以下）、岩棉等行业冲天炉改为电炉。</w:t>
      </w:r>
    </w:p>
    <w:p>
      <w:pPr>
        <w:pStyle w:val="10"/>
        <w:numPr>
          <w:ilvl w:val="0"/>
          <w:numId w:val="0"/>
        </w:numPr>
        <w:bidi w:val="0"/>
        <w:ind w:leftChars="0" w:firstLine="643" w:firstLineChars="200"/>
        <w:jc w:val="both"/>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（四）</w:t>
      </w:r>
      <w:r>
        <w:rPr>
          <w:rFonts w:hint="eastAsia" w:ascii="楷体" w:hAnsi="楷体" w:eastAsia="楷体" w:cs="楷体"/>
          <w:b/>
          <w:bCs/>
          <w:color w:val="000000"/>
          <w:sz w:val="32"/>
          <w:szCs w:val="32"/>
          <w:shd w:val="clear" w:fill="FFFFFF"/>
        </w:rPr>
        <w:t>实施污染深度治理。</w:t>
      </w:r>
      <w:r>
        <w:rPr>
          <w:rFonts w:hint="eastAsia" w:ascii="仿宋_GB2312" w:hAnsi="仿宋_GB2312" w:eastAsia="仿宋_GB2312" w:cs="仿宋_GB2312"/>
          <w:kern w:val="2"/>
          <w:sz w:val="32"/>
          <w:szCs w:val="32"/>
          <w:lang w:val="en-US" w:eastAsia="zh-CN" w:bidi="ar-SA"/>
        </w:rPr>
        <w:t>推进重点行业污染深度治理。</w:t>
      </w:r>
      <w:r>
        <w:rPr>
          <w:rFonts w:hint="eastAsia" w:ascii="仿宋" w:hAnsi="仿宋" w:eastAsia="仿宋" w:cs="仿宋"/>
          <w:b w:val="0"/>
          <w:bCs w:val="0"/>
          <w:color w:val="000000"/>
          <w:sz w:val="32"/>
          <w:szCs w:val="32"/>
          <w:shd w:val="clear" w:fill="FFFFFF"/>
          <w:lang w:eastAsia="zh-CN"/>
        </w:rPr>
        <w:t>加</w:t>
      </w:r>
      <w:r>
        <w:rPr>
          <w:rFonts w:hint="eastAsia" w:ascii="仿宋_GB2312" w:hAnsi="仿宋_GB2312" w:eastAsia="仿宋_GB2312" w:cs="仿宋_GB2312"/>
          <w:kern w:val="2"/>
          <w:sz w:val="32"/>
          <w:szCs w:val="32"/>
          <w:lang w:val="en-US" w:eastAsia="zh-CN" w:bidi="ar-SA"/>
        </w:rPr>
        <w:t>快钢铁行业（含独立球团企业，有球团、烧结、高炉的铸造、铁合金企业）超低排放改造。积极推进电解铝、平板玻璃、水泥、焦化等行业污染治理升级改造，平板玻璃、建筑陶瓷企业取消脱硫脱硝烟气旁路或设置备用脱硫脱硝等设施，鼓励水泥企业实施全流程污染深度治理。</w:t>
      </w:r>
      <w:r>
        <w:rPr>
          <w:rFonts w:hint="eastAsia" w:ascii="仿宋_GB2312" w:hAnsi="仿宋_GB2312" w:eastAsia="仿宋_GB2312" w:cs="仿宋_GB2312"/>
          <w:color w:val="auto"/>
          <w:kern w:val="2"/>
          <w:sz w:val="32"/>
          <w:szCs w:val="32"/>
          <w:lang w:val="en-US" w:eastAsia="zh-CN" w:bidi="ar-SA"/>
        </w:rPr>
        <w:t>鼓励限制类以上的焦炉参照钢铁行业炼焦工序超低排放指标要求全面实施超低排放改造，</w:t>
      </w:r>
      <w:r>
        <w:rPr>
          <w:rFonts w:hint="eastAsia" w:ascii="仿宋_GB2312" w:hAnsi="仿宋_GB2312" w:eastAsia="仿宋_GB2312" w:cs="仿宋_GB2312"/>
          <w:kern w:val="2"/>
          <w:sz w:val="32"/>
          <w:szCs w:val="32"/>
          <w:lang w:val="en-US" w:eastAsia="zh-CN" w:bidi="ar-SA"/>
        </w:rPr>
        <w:t>推进焦化企业对炭化室4.3米以上焦炉（不含4.3米）实施干熄焦改造，在保证安全生产前提下，重点区域城市建成区内焦炉实施炉体加罩封闭，并对废气进行收集处理。</w:t>
      </w:r>
    </w:p>
    <w:p>
      <w:pPr>
        <w:pStyle w:val="10"/>
        <w:numPr>
          <w:ilvl w:val="0"/>
          <w:numId w:val="0"/>
        </w:numPr>
        <w:bidi w:val="0"/>
        <w:ind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推进工业炉窑全面达标排放。加大工业炉窑治理力度，配套建设高效脱硫脱硝除尘设施（附件2）。已有行业排放标准的工业炉窑（附件3），严格执行行业排放标准特别排放限值及相关规定。暂未制订行业排放标准的工业炉窑，包括铸造，日用玻璃，玻璃纤维、耐火材料、石灰、矿物棉等建材行业，钨、工业硅、金属冶炼废渣（灰）二次提取等有色金属行业，氮肥、电石、无机磷、活性炭等化工行业，应参照相关行业已出台的标准；其他工业炉窑按照颗粒物、二氧化硫、氮氧化物排放限值分别不高于30、200、300毫克/立方米考核评价，其中，日用玻璃、玻璃棉氮氧化物排放限值不高于400毫克/立方米。以上工业炉窑2019年完成改造。</w:t>
      </w:r>
    </w:p>
    <w:p>
      <w:pPr>
        <w:pStyle w:val="10"/>
        <w:numPr>
          <w:ilvl w:val="0"/>
          <w:numId w:val="0"/>
        </w:numPr>
        <w:bidi w:val="0"/>
        <w:ind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加强颗粒物无组织排放管理。2019年完成工业炉窑生产工艺过程及相关物料储存、输送等无组织排放改造，在保障生产安全的前提下，采取密闭、封闭等有效措施（见附件5），有效提高废气收集率，产尘点及车间不得有可见烟粉尘外逸。生产工艺产尘点（装置）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p>
    <w:p>
      <w:pPr>
        <w:pStyle w:val="11"/>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加强挥发性有机物综合治理，全面落实相关行业标准和《挥发性有机物无组织排放控制标准》，加强焦炉、煤气发生炉VOCs治理力度。其中，炼焦煤气净化系统冷鼓各级贮槽 （罐）及其他区域焦油、苯等贮器有机废气接入压力平衡系统或收集净化处理，酚氰废水预处理设施（调节池、气浮池、隔油池）加盖并配备废气收集处理设施，开展设备和管线泄漏检测与修复（LDAR）工作。煤气发生炉酚水系统应封闭，产生的废气应收集处理。禁止含酚废水直接作为煤气水封水、冲渣水。</w:t>
      </w:r>
    </w:p>
    <w:p>
      <w:pPr>
        <w:pStyle w:val="5"/>
        <w:keepNext w:val="0"/>
        <w:keepLines w:val="0"/>
        <w:widowControl/>
        <w:suppressLineNumbers w:val="0"/>
        <w:spacing w:line="540" w:lineRule="atLeas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（五）工业园区和产业集群综合整治任务。</w:t>
      </w:r>
      <w:r>
        <w:rPr>
          <w:rFonts w:hint="eastAsia" w:ascii="仿宋_GB2312" w:hAnsi="仿宋_GB2312" w:eastAsia="仿宋_GB2312" w:cs="仿宋_GB2312"/>
          <w:sz w:val="32"/>
          <w:szCs w:val="32"/>
          <w:lang w:val="en-US" w:eastAsia="zh-CN"/>
        </w:rPr>
        <w:t>加大涉工业炉窑类工业园区和地方特色产业集群（如阳泉耐火材料、晋城冶铸、怀仁陶瓷、太谷玛钢、祁县玻璃器皿、定襄法兰、代县球团、闻喜金属镁等）的综合整治力度，结合“三线一单”、规划环评等要求，进一步梳理确定园区和产业发展定位、规模及结构等。制定综合整治方案，对标先进企业，从生产工艺、产能规模、燃料类型、污染治理等方面提出明确要求，提升产业发展质量和环保治理水平。按照统一标准、统一时间表的要求，同步推进区域环境综合整治和企业升级改造。加强工业园区能源替代利用与资源共享，积极推广集中供汽供热或建设清洁低碳能源中心等，替代工业炉窑燃料用煤；充分利用园区内工厂余热、焦炉煤气等清洁低碳能源，加强分质与梯级利用，提高能源利用效率，促进形成清洁低碳高效产业链。</w:t>
      </w:r>
    </w:p>
    <w:p>
      <w:pPr>
        <w:pStyle w:val="5"/>
        <w:keepNext w:val="0"/>
        <w:keepLines w:val="0"/>
        <w:widowControl/>
        <w:suppressLineNumbers w:val="0"/>
        <w:spacing w:line="540" w:lineRule="atLeas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（六）加强清洁运输改造。</w:t>
      </w:r>
      <w:r>
        <w:rPr>
          <w:rFonts w:hint="eastAsia" w:ascii="仿宋_GB2312" w:hAnsi="仿宋_GB2312" w:eastAsia="仿宋_GB2312" w:cs="仿宋_GB2312"/>
          <w:b w:val="0"/>
          <w:bCs w:val="0"/>
          <w:kern w:val="2"/>
          <w:sz w:val="32"/>
          <w:szCs w:val="32"/>
          <w:lang w:val="en-US" w:eastAsia="zh-CN" w:bidi="ar-SA"/>
        </w:rPr>
        <w:t>2020年，大</w:t>
      </w:r>
      <w:r>
        <w:rPr>
          <w:rFonts w:hint="eastAsia" w:ascii="仿宋_GB2312" w:hAnsi="仿宋_GB2312" w:eastAsia="仿宋_GB2312" w:cs="仿宋_GB2312"/>
          <w:kern w:val="2"/>
          <w:sz w:val="32"/>
          <w:szCs w:val="32"/>
          <w:lang w:val="en-US" w:eastAsia="zh-CN" w:bidi="ar-SA"/>
        </w:rPr>
        <w:t>宗货物年货运量150万吨及以上的，原则上全部修建铁路专用线；具有铁路专用线的，大宗货物铁路运输比例应达到80%以上。钢铁、电解铝、焦化等重点工业企业铁路专用线接入比例达到80%以上。新、改、扩建涉及大宗物料运输的建设项目,原则 上不得采用公路运输。</w:t>
      </w:r>
    </w:p>
    <w:p>
      <w:pPr>
        <w:pStyle w:val="5"/>
        <w:keepNext w:val="0"/>
        <w:keepLines w:val="0"/>
        <w:widowControl/>
        <w:suppressLineNumbers w:val="0"/>
        <w:spacing w:line="540" w:lineRule="atLeas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（七）建立健全监测监控体系。</w:t>
      </w:r>
      <w:r>
        <w:rPr>
          <w:rFonts w:hint="eastAsia" w:ascii="仿宋_GB2312" w:hAnsi="仿宋_GB2312" w:eastAsia="仿宋_GB2312" w:cs="仿宋_GB2312"/>
          <w:kern w:val="2"/>
          <w:sz w:val="32"/>
          <w:szCs w:val="32"/>
          <w:lang w:val="en-US" w:eastAsia="zh-CN" w:bidi="ar-SA"/>
        </w:rPr>
        <w:t>排气口高度超过45米的高架源，钢铁、焦化、水泥、平板玻璃、陶瓷、氮肥、有色金属冶炼、再生有色金属等行业，严格按照排污许可管理规定安装和运行自动监控设施。加快其他行业工业炉窑大气污染物排放自动监控设施建设，冲天炉、玻璃熔窑、以煤和煤矸石为燃料的砖瓦烧结窑、耐火材料焙烧窑（电窑除外）、炭素焙（煅）烧炉（窑）、石灰窑、铬盐焙烧窑、磷化工焙烧窑、铁合金矿热炉和精炼炉等，应纳入重点排污单位名录，安装自动监控设施。具备条件的企业，应通过分布式控制系统（DCS）等，自动连续记录工业炉窑环保设施运行及相关生产过程主要参数。重点行业厂区布设空气质量监测微站、安装高清视频监控设施。重点运输单位建设门禁系统和视频监控系，监控运输车辆进出情况。门禁系统、CEMS、DCS监控等数据保存一年以上，视频监控数据保存三个月以上。强化监测数据质量控制，自动监控设施应与生态环境主管部门联网，数据传输有效率达到90%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三、政策措施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（一）完善排放标准体系。</w:t>
      </w:r>
      <w:r>
        <w:rPr>
          <w:rFonts w:hint="eastAsia" w:ascii="仿宋_GB2312" w:hAnsi="仿宋_GB2312" w:eastAsia="仿宋_GB2312" w:cs="仿宋_GB2312"/>
          <w:sz w:val="32"/>
          <w:szCs w:val="32"/>
          <w:lang w:val="en-US" w:eastAsia="zh-CN"/>
        </w:rPr>
        <w:t>加快制定我省《工业炉窑大气污染物排放标准》《钢铁行业大气污染物排放标准》《焦化行业无组织排放标准》《水泥行业大气污染物排放标准》等涉气地方标准，构建我省地方大气污染物排放标准体系，通过环境标准硬约束，促进相关重污染行业环境治理水平和产业素质“双提升”。</w:t>
      </w:r>
    </w:p>
    <w:p>
      <w:pPr>
        <w:pStyle w:val="5"/>
        <w:keepNext w:val="0"/>
        <w:keepLines w:val="0"/>
        <w:widowControl/>
        <w:suppressLineNumbers w:val="0"/>
        <w:spacing w:line="540" w:lineRule="atLeast"/>
        <w:ind w:firstLine="643" w:firstLineChars="200"/>
        <w:rPr>
          <w:sz w:val="24"/>
          <w:szCs w:val="24"/>
        </w:rPr>
      </w:pPr>
      <w:r>
        <w:rPr>
          <w:rFonts w:hint="eastAsia" w:ascii="楷体" w:hAnsi="楷体" w:eastAsia="楷体" w:cs="楷体"/>
          <w:b/>
          <w:bCs/>
          <w:kern w:val="2"/>
          <w:sz w:val="32"/>
          <w:szCs w:val="32"/>
          <w:lang w:val="en-US" w:eastAsia="zh-CN" w:bidi="ar-SA"/>
        </w:rPr>
        <w:t>（二）实施差异化管理。</w:t>
      </w:r>
      <w:r>
        <w:rPr>
          <w:rFonts w:hint="eastAsia" w:ascii="仿宋_GB2312" w:hAnsi="仿宋_GB2312" w:eastAsia="仿宋_GB2312" w:cs="仿宋_GB2312"/>
          <w:kern w:val="2"/>
          <w:sz w:val="32"/>
          <w:szCs w:val="32"/>
          <w:lang w:val="en-US" w:eastAsia="zh-CN" w:bidi="ar-SA"/>
        </w:rPr>
        <w:t>综合考虑企业生产工艺、燃料类型、污染治理设施运行效果、无组织排放管控水平以及大宗物料运输方式等，树立行业标杆，引导产业转型升级。在重污染天气应对、环境执法检查、资金奖励等方面，对标杆企业予以支持，对治污设施简易、无组织排放管控不力的企业，加大联合惩戒力度。未达到深度治理标准的，在错峰生产和重污染天气应对期间实施分级分类差别化管控，加大停限产比例。</w:t>
      </w:r>
    </w:p>
    <w:p>
      <w:pPr>
        <w:pStyle w:val="5"/>
        <w:keepNext w:val="0"/>
        <w:keepLines w:val="0"/>
        <w:widowControl/>
        <w:suppressLineNumbers w:val="0"/>
        <w:spacing w:line="540" w:lineRule="atLeast"/>
        <w:ind w:firstLine="480" w:firstLineChars="200"/>
        <w:jc w:val="both"/>
        <w:rPr>
          <w:rFonts w:hint="eastAsia" w:ascii="仿宋_GB2312" w:hAnsi="仿宋_GB2312" w:eastAsia="仿宋_GB2312" w:cs="仿宋_GB2312"/>
          <w:kern w:val="2"/>
          <w:sz w:val="32"/>
          <w:szCs w:val="32"/>
          <w:lang w:val="en-US" w:eastAsia="zh-CN" w:bidi="ar-SA"/>
        </w:rPr>
      </w:pPr>
      <w:r>
        <w:rPr>
          <w:rFonts w:hint="eastAsia" w:ascii="微软雅黑" w:hAnsi="微软雅黑" w:eastAsia="微软雅黑" w:cs="微软雅黑"/>
          <w:color w:val="000000"/>
          <w:sz w:val="24"/>
          <w:szCs w:val="24"/>
          <w:shd w:val="clear" w:fill="FFFFFF"/>
        </w:rPr>
        <w:t>　</w:t>
      </w:r>
      <w:r>
        <w:rPr>
          <w:rFonts w:hint="eastAsia" w:ascii="楷体" w:hAnsi="楷体" w:eastAsia="楷体" w:cs="楷体"/>
          <w:b/>
          <w:bCs/>
          <w:kern w:val="2"/>
          <w:sz w:val="32"/>
          <w:szCs w:val="32"/>
          <w:lang w:val="en-US" w:eastAsia="zh-CN" w:bidi="ar-SA"/>
        </w:rPr>
        <w:t>（三）落实税收激励政策。</w:t>
      </w:r>
      <w:r>
        <w:rPr>
          <w:rFonts w:hint="eastAsia" w:ascii="仿宋_GB2312" w:hAnsi="仿宋_GB2312" w:eastAsia="仿宋_GB2312" w:cs="仿宋_GB2312"/>
          <w:kern w:val="2"/>
          <w:sz w:val="32"/>
          <w:szCs w:val="32"/>
          <w:lang w:val="en-US" w:eastAsia="zh-CN" w:bidi="ar-SA"/>
        </w:rPr>
        <w:t>严格执行环境保护税法，按照有关条款规定给予相应税收优惠待遇。纳税人排放应税大气污染物的浓度值低于国家和地方规定的污染物排放标准百分之三十的，减按百分之七十五征收环境保护税；低于百分之五十的，减按百分之五十征收环境保护税。落实环境保护专用设备企业所得税抵免优惠政策。</w:t>
      </w:r>
    </w:p>
    <w:p>
      <w:pPr>
        <w:pStyle w:val="5"/>
        <w:keepNext w:val="0"/>
        <w:keepLines w:val="0"/>
        <w:widowControl/>
        <w:suppressLineNumbers w:val="0"/>
        <w:spacing w:line="540" w:lineRule="atLeast"/>
        <w:ind w:firstLine="643" w:firstLineChars="200"/>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（四）加大财政资金引导。</w:t>
      </w:r>
      <w:r>
        <w:rPr>
          <w:rFonts w:hint="eastAsia" w:ascii="仿宋_GB2312" w:hAnsi="仿宋_GB2312" w:eastAsia="仿宋_GB2312" w:cs="仿宋_GB2312"/>
          <w:b w:val="0"/>
          <w:color w:val="000000"/>
          <w:sz w:val="32"/>
          <w:szCs w:val="32"/>
          <w:shd w:val="clear" w:fill="FFFFFF"/>
          <w:lang w:eastAsia="zh-CN"/>
        </w:rPr>
        <w:t>省市</w:t>
      </w:r>
      <w:r>
        <w:rPr>
          <w:rFonts w:hint="eastAsia" w:ascii="仿宋_GB2312" w:hAnsi="仿宋_GB2312" w:eastAsia="仿宋_GB2312" w:cs="仿宋_GB2312"/>
          <w:kern w:val="2"/>
          <w:sz w:val="32"/>
          <w:szCs w:val="32"/>
          <w:lang w:val="en-US" w:eastAsia="zh-CN" w:bidi="ar-SA"/>
        </w:rPr>
        <w:t>财政对工业炉窑大气污染综合治理项目予以支持，对2</w:t>
      </w:r>
      <w:r>
        <w:rPr>
          <w:rFonts w:hint="eastAsia" w:ascii="仿宋_GB2312" w:hAnsi="仿宋_GB2312" w:eastAsia="仿宋_GB2312" w:cs="仿宋_GB2312"/>
          <w:b w:val="0"/>
          <w:color w:val="000000"/>
          <w:sz w:val="32"/>
          <w:szCs w:val="32"/>
          <w:shd w:val="clear" w:fill="FFFFFF"/>
          <w:lang w:val="en-US" w:eastAsia="zh-CN"/>
        </w:rPr>
        <w:t>020年10月1日前完成综合整治的加大资金奖励力度。</w:t>
      </w:r>
      <w:r>
        <w:rPr>
          <w:rFonts w:hint="eastAsia" w:ascii="仿宋_GB2312" w:hAnsi="仿宋_GB2312" w:eastAsia="仿宋_GB2312" w:cs="仿宋_GB2312"/>
          <w:b w:val="0"/>
          <w:color w:val="000000"/>
          <w:sz w:val="32"/>
          <w:szCs w:val="32"/>
          <w:shd w:val="clear" w:fill="FFFFFF"/>
        </w:rPr>
        <w:t>企业通过</w:t>
      </w:r>
      <w:r>
        <w:rPr>
          <w:rFonts w:hint="eastAsia" w:ascii="仿宋_GB2312" w:hAnsi="仿宋_GB2312" w:eastAsia="仿宋_GB2312" w:cs="仿宋_GB2312"/>
          <w:b w:val="0"/>
          <w:color w:val="000000"/>
          <w:sz w:val="32"/>
          <w:szCs w:val="32"/>
          <w:shd w:val="clear" w:fill="FFFFFF"/>
          <w:lang w:eastAsia="zh-CN"/>
        </w:rPr>
        <w:t>综合治理</w:t>
      </w:r>
      <w:r>
        <w:rPr>
          <w:rFonts w:hint="eastAsia" w:ascii="仿宋_GB2312" w:hAnsi="仿宋_GB2312" w:eastAsia="仿宋_GB2312" w:cs="仿宋_GB2312"/>
          <w:b w:val="0"/>
          <w:color w:val="000000"/>
          <w:sz w:val="32"/>
          <w:szCs w:val="32"/>
          <w:shd w:val="clear" w:fill="FFFFFF"/>
        </w:rPr>
        <w:t>形成的富余排污权，可用于市场交易。</w:t>
      </w:r>
    </w:p>
    <w:p>
      <w:pPr>
        <w:pStyle w:val="5"/>
        <w:keepNext w:val="0"/>
        <w:keepLines w:val="0"/>
        <w:widowControl/>
        <w:suppressLineNumbers w:val="0"/>
        <w:spacing w:line="540" w:lineRule="atLeast"/>
        <w:ind w:firstLine="643" w:firstLineChars="200"/>
        <w:rPr>
          <w:rFonts w:hint="default" w:ascii="微软雅黑" w:hAnsi="微软雅黑" w:eastAsia="微软雅黑" w:cs="微软雅黑"/>
          <w:color w:val="000000"/>
          <w:sz w:val="24"/>
          <w:szCs w:val="24"/>
          <w:shd w:val="clear" w:fill="FFFFFF"/>
          <w:lang w:val="en-US" w:eastAsia="zh-CN"/>
        </w:rPr>
      </w:pPr>
      <w:r>
        <w:rPr>
          <w:rFonts w:hint="eastAsia" w:ascii="楷体" w:hAnsi="楷体" w:eastAsia="楷体" w:cs="楷体"/>
          <w:b/>
          <w:bCs/>
          <w:kern w:val="2"/>
          <w:sz w:val="32"/>
          <w:szCs w:val="32"/>
          <w:lang w:val="en-US" w:eastAsia="zh-CN" w:bidi="ar-SA"/>
        </w:rPr>
        <w:t>（五）实施差别化电价政策。</w:t>
      </w:r>
      <w:r>
        <w:rPr>
          <w:rFonts w:hint="eastAsia" w:ascii="仿宋_GB2312" w:hAnsi="仿宋_GB2312" w:eastAsia="仿宋_GB2312" w:cs="仿宋_GB2312"/>
          <w:kern w:val="2"/>
          <w:sz w:val="32"/>
          <w:szCs w:val="32"/>
          <w:lang w:val="en-US" w:eastAsia="zh-CN" w:bidi="ar-SA"/>
        </w:rPr>
        <w:t>充分发挥电力价格的杠杆作用，推动涉工业炉窑行业加快落后产能淘汰。严格落实铁合金、电石、烧碱、水泥、钢铁、黄磷、锌冶炼等行业差别电价政策，对淘汰类和限制类企业用电(含市场化交易电量)实行更高价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四、保障措施</w:t>
      </w:r>
    </w:p>
    <w:p>
      <w:pPr>
        <w:pStyle w:val="5"/>
        <w:keepNext w:val="0"/>
        <w:keepLines w:val="0"/>
        <w:widowControl/>
        <w:suppressLineNumbers w:val="0"/>
        <w:spacing w:line="540" w:lineRule="atLeast"/>
        <w:ind w:firstLine="643" w:firstLineChars="200"/>
        <w:rPr>
          <w:rFonts w:hint="eastAsia" w:ascii="微软雅黑" w:hAnsi="微软雅黑" w:eastAsia="微软雅黑" w:cs="微软雅黑"/>
          <w:color w:val="000000"/>
          <w:sz w:val="24"/>
          <w:szCs w:val="24"/>
          <w:shd w:val="clear" w:fill="FFFFFF"/>
        </w:rPr>
      </w:pPr>
      <w:r>
        <w:rPr>
          <w:rFonts w:hint="eastAsia" w:ascii="楷体" w:hAnsi="楷体" w:eastAsia="楷体" w:cs="楷体"/>
          <w:b/>
          <w:bCs/>
          <w:color w:val="000000"/>
          <w:kern w:val="2"/>
          <w:sz w:val="32"/>
          <w:szCs w:val="32"/>
          <w:shd w:val="clear" w:fill="FFFFFF"/>
          <w:lang w:val="en-US" w:eastAsia="zh-CN" w:bidi="ar-SA"/>
        </w:rPr>
        <w:t>（一）加强组织领导。</w:t>
      </w:r>
      <w:r>
        <w:rPr>
          <w:rFonts w:hint="eastAsia" w:ascii="仿宋_GB2312" w:hAnsi="仿宋_GB2312" w:eastAsia="仿宋_GB2312" w:cs="仿宋_GB2312"/>
          <w:kern w:val="2"/>
          <w:sz w:val="32"/>
          <w:szCs w:val="32"/>
          <w:lang w:val="en-US" w:eastAsia="zh-CN" w:bidi="ar-SA"/>
        </w:rPr>
        <w:t>省生态环境厅、省发改委、省工信厅、省财政厅共同组织实施本方案，各有关部门各司其职、各负其责、密切配合，形成工作合力，加强对地方工作指导，及时协调解决推进过程中的困难和问题。各市要按照国家和我省打赢蓝天保卫战总体部署，把开展工业炉窑大气污染综合治理放在重要位置，切实加强组织领导，加大政策扶持力度，做好监督和指导工作，结合全国第二次污染源普查工作，对已建立的工业炉窑全口径清单实施动态管理，掌握工业炉窑使用和排放情况，2019年10月底前制定工业炉窑大气污染综合治理实施计划，</w:t>
      </w:r>
      <w:r>
        <w:rPr>
          <w:rFonts w:hint="eastAsia" w:ascii="仿宋_GB2312" w:hAnsi="仿宋_GB2312" w:eastAsia="仿宋_GB2312" w:cs="仿宋_GB2312"/>
          <w:b w:val="0"/>
          <w:color w:val="000000"/>
          <w:sz w:val="32"/>
          <w:szCs w:val="32"/>
          <w:shd w:val="clear" w:fill="FFFFFF"/>
          <w:lang w:eastAsia="zh-CN"/>
        </w:rPr>
        <w:t>明确分</w:t>
      </w:r>
      <w:r>
        <w:rPr>
          <w:rFonts w:hint="eastAsia" w:ascii="仿宋_GB2312" w:hAnsi="仿宋_GB2312" w:eastAsia="仿宋_GB2312" w:cs="仿宋_GB2312"/>
          <w:b w:val="0"/>
          <w:color w:val="000000"/>
          <w:sz w:val="32"/>
          <w:szCs w:val="32"/>
          <w:shd w:val="clear" w:fill="FFFFFF"/>
        </w:rPr>
        <w:t>年度改造项目</w:t>
      </w:r>
      <w:r>
        <w:rPr>
          <w:rFonts w:hint="eastAsia" w:ascii="仿宋_GB2312" w:hAnsi="仿宋_GB2312" w:eastAsia="仿宋_GB2312" w:cs="仿宋_GB2312"/>
          <w:kern w:val="2"/>
          <w:sz w:val="32"/>
          <w:szCs w:val="32"/>
          <w:lang w:val="en-US" w:eastAsia="zh-CN" w:bidi="ar-SA"/>
        </w:rPr>
        <w:t>，2019年12月底前制定</w:t>
      </w:r>
      <w:r>
        <w:rPr>
          <w:rFonts w:hint="eastAsia" w:ascii="仿宋_GB2312" w:hAnsi="仿宋_GB2312" w:eastAsia="仿宋_GB2312" w:cs="仿宋_GB2312"/>
          <w:sz w:val="32"/>
          <w:szCs w:val="32"/>
          <w:lang w:val="en-US" w:eastAsia="zh-CN"/>
        </w:rPr>
        <w:t>涉工业炉窑类工业园区和</w:t>
      </w:r>
      <w:r>
        <w:rPr>
          <w:rFonts w:hint="eastAsia" w:ascii="仿宋_GB2312" w:hAnsi="仿宋_GB2312" w:eastAsia="仿宋_GB2312" w:cs="仿宋_GB2312"/>
          <w:kern w:val="2"/>
          <w:sz w:val="32"/>
          <w:szCs w:val="32"/>
          <w:lang w:val="en-US" w:eastAsia="zh-CN" w:bidi="ar-SA"/>
        </w:rPr>
        <w:t>特色产业集群综合整治方案，分别报省生态环境厅、省发改委、工信息厅等部门。</w:t>
      </w:r>
    </w:p>
    <w:p>
      <w:pPr>
        <w:pStyle w:val="5"/>
        <w:keepNext w:val="0"/>
        <w:keepLines w:val="0"/>
        <w:widowControl/>
        <w:suppressLineNumbers w:val="0"/>
        <w:spacing w:line="540" w:lineRule="atLeast"/>
        <w:rPr>
          <w:rFonts w:hint="eastAsia" w:ascii="仿宋_GB2312" w:hAnsi="仿宋_GB2312" w:eastAsia="仿宋_GB2312" w:cs="仿宋_GB2312"/>
          <w:b w:val="0"/>
          <w:color w:val="000000"/>
          <w:sz w:val="32"/>
          <w:szCs w:val="32"/>
          <w:shd w:val="clear" w:fill="FFFFFF"/>
          <w:lang w:val="en-US" w:eastAsia="zh-CN"/>
        </w:rPr>
      </w:pPr>
      <w:r>
        <w:rPr>
          <w:rFonts w:hint="eastAsia" w:ascii="仿宋_GB2312" w:hAnsi="仿宋_GB2312" w:eastAsia="仿宋_GB2312" w:cs="仿宋_GB2312"/>
          <w:b w:val="0"/>
          <w:color w:val="000000"/>
          <w:sz w:val="32"/>
          <w:szCs w:val="32"/>
          <w:shd w:val="clear" w:fill="FFFFFF"/>
          <w:lang w:val="en-US" w:eastAsia="zh-CN"/>
        </w:rPr>
        <w:t xml:space="preserve">   </w:t>
      </w:r>
      <w:r>
        <w:rPr>
          <w:rFonts w:hint="eastAsia" w:ascii="楷体" w:hAnsi="楷体" w:eastAsia="楷体" w:cs="楷体"/>
          <w:b/>
          <w:bCs/>
          <w:kern w:val="2"/>
          <w:sz w:val="32"/>
          <w:szCs w:val="32"/>
          <w:lang w:val="en-US" w:eastAsia="zh-CN" w:bidi="ar-SA"/>
        </w:rPr>
        <w:t>（二）强化企业主体责任。</w:t>
      </w:r>
      <w:r>
        <w:rPr>
          <w:rFonts w:hint="eastAsia" w:ascii="仿宋_GB2312" w:hAnsi="仿宋_GB2312" w:eastAsia="仿宋_GB2312" w:cs="仿宋_GB2312"/>
          <w:kern w:val="2"/>
          <w:sz w:val="32"/>
          <w:szCs w:val="32"/>
          <w:lang w:val="en-US" w:eastAsia="zh-CN" w:bidi="ar-SA"/>
        </w:rPr>
        <w:t>企业是工业炉窑污染治理的责任主体，要切实履行责任，按照本方案和地方有关部门要求等制定实施计划，确保按期完成改造任务。加大资金投入，加快装备升级和燃料清洁低碳化替代，实施污染深度治理。加强人员技术培训，健全内部环保考核管理机制，确保治污设施长期稳定运行。及时公布自行监测和污染排放数据、污染治理措施、重污染天气应对、环保违法处罚及整改等信息，推动公众参与和社会监督。国有企业和龙头企业要发挥表率作用，引导行业转型升级和高质量发展。</w:t>
      </w:r>
    </w:p>
    <w:p>
      <w:pPr>
        <w:pStyle w:val="5"/>
        <w:keepNext w:val="0"/>
        <w:keepLines w:val="0"/>
        <w:widowControl/>
        <w:suppressLineNumbers w:val="0"/>
        <w:spacing w:line="540" w:lineRule="atLeast"/>
        <w:rPr>
          <w:rFonts w:hint="eastAsia" w:ascii="仿宋_GB2312" w:hAnsi="仿宋_GB2312" w:eastAsia="仿宋_GB2312" w:cs="仿宋_GB2312"/>
          <w:b w:val="0"/>
          <w:color w:val="000000"/>
          <w:sz w:val="32"/>
          <w:szCs w:val="32"/>
          <w:shd w:val="clear" w:fill="FFFFFF"/>
        </w:rPr>
      </w:pPr>
      <w:r>
        <w:rPr>
          <w:rFonts w:hint="eastAsia" w:ascii="仿宋_GB2312" w:hAnsi="仿宋_GB2312" w:eastAsia="仿宋_GB2312" w:cs="仿宋_GB2312"/>
          <w:b w:val="0"/>
          <w:color w:val="000000"/>
          <w:sz w:val="32"/>
          <w:szCs w:val="32"/>
          <w:shd w:val="clear" w:fill="FFFFFF"/>
        </w:rPr>
        <w:t>　</w:t>
      </w:r>
      <w:r>
        <w:rPr>
          <w:rFonts w:hint="eastAsia" w:ascii="仿宋_GB2312" w:hAnsi="仿宋_GB2312" w:eastAsia="仿宋_GB2312" w:cs="仿宋_GB2312"/>
          <w:b w:val="0"/>
          <w:color w:val="000000"/>
          <w:sz w:val="32"/>
          <w:szCs w:val="32"/>
          <w:shd w:val="clear" w:fill="FFFFFF"/>
          <w:lang w:val="en-US" w:eastAsia="zh-CN"/>
        </w:rPr>
        <w:t xml:space="preserve"> </w:t>
      </w:r>
      <w:r>
        <w:rPr>
          <w:rFonts w:hint="eastAsia" w:ascii="楷体" w:hAnsi="楷体" w:eastAsia="楷体" w:cs="楷体"/>
          <w:b/>
          <w:bCs/>
          <w:color w:val="000000"/>
          <w:sz w:val="32"/>
          <w:szCs w:val="32"/>
          <w:shd w:val="clear" w:fill="FFFFFF"/>
        </w:rPr>
        <w:t>（三）严格评价管理。</w:t>
      </w:r>
      <w:r>
        <w:rPr>
          <w:rFonts w:hint="eastAsia" w:ascii="仿宋_GB2312" w:hAnsi="仿宋_GB2312" w:eastAsia="仿宋_GB2312" w:cs="仿宋_GB2312"/>
          <w:b w:val="0"/>
          <w:color w:val="000000"/>
          <w:sz w:val="32"/>
          <w:szCs w:val="32"/>
          <w:shd w:val="clear" w:fill="FFFFFF"/>
        </w:rPr>
        <w:t>企业完成</w:t>
      </w:r>
      <w:r>
        <w:rPr>
          <w:rFonts w:hint="eastAsia" w:ascii="仿宋_GB2312" w:hAnsi="仿宋_GB2312" w:eastAsia="仿宋_GB2312" w:cs="仿宋_GB2312"/>
          <w:b w:val="0"/>
          <w:color w:val="000000"/>
          <w:sz w:val="32"/>
          <w:szCs w:val="32"/>
          <w:shd w:val="clear" w:fill="FFFFFF"/>
          <w:lang w:eastAsia="zh-CN"/>
        </w:rPr>
        <w:t>工业炉窑综合治理</w:t>
      </w:r>
      <w:r>
        <w:rPr>
          <w:rFonts w:hint="eastAsia" w:ascii="仿宋_GB2312" w:hAnsi="仿宋_GB2312" w:eastAsia="仿宋_GB2312" w:cs="仿宋_GB2312"/>
          <w:b w:val="0"/>
          <w:color w:val="000000"/>
          <w:sz w:val="32"/>
          <w:szCs w:val="32"/>
          <w:shd w:val="clear" w:fill="FFFFFF"/>
        </w:rPr>
        <w:t>连续稳定运行一个月后，可自行或委托有能力的技术机构，严格按照指标要求、监测技术规范等开展自行监测</w:t>
      </w:r>
      <w:r>
        <w:rPr>
          <w:rFonts w:hint="eastAsia" w:ascii="仿宋_GB2312" w:hAnsi="仿宋_GB2312" w:eastAsia="仿宋_GB2312" w:cs="仿宋_GB2312"/>
          <w:b w:val="0"/>
          <w:color w:val="000000"/>
          <w:sz w:val="32"/>
          <w:szCs w:val="32"/>
          <w:shd w:val="clear" w:fill="FFFFFF"/>
          <w:lang w:eastAsia="zh-CN"/>
        </w:rPr>
        <w:t>，并将自验收资料分别报当地生态环境、工信、财政、交通等部门。</w:t>
      </w:r>
      <w:r>
        <w:rPr>
          <w:rFonts w:hint="eastAsia" w:ascii="仿宋_GB2312" w:hAnsi="仿宋_GB2312" w:eastAsia="仿宋_GB2312" w:cs="仿宋_GB2312"/>
          <w:b w:val="0"/>
          <w:color w:val="000000"/>
          <w:sz w:val="32"/>
          <w:szCs w:val="32"/>
          <w:shd w:val="clear" w:fill="FFFFFF"/>
        </w:rPr>
        <w:t>各</w:t>
      </w:r>
      <w:r>
        <w:rPr>
          <w:rFonts w:hint="eastAsia" w:ascii="仿宋_GB2312" w:hAnsi="仿宋_GB2312" w:eastAsia="仿宋_GB2312" w:cs="仿宋_GB2312"/>
          <w:b w:val="0"/>
          <w:color w:val="000000"/>
          <w:sz w:val="32"/>
          <w:szCs w:val="32"/>
          <w:shd w:val="clear" w:fill="FFFFFF"/>
          <w:lang w:eastAsia="zh-CN"/>
        </w:rPr>
        <w:t>市生态环境部门会同有关部门，</w:t>
      </w:r>
      <w:r>
        <w:rPr>
          <w:rFonts w:hint="eastAsia" w:ascii="仿宋_GB2312" w:hAnsi="仿宋_GB2312" w:eastAsia="仿宋_GB2312" w:cs="仿宋_GB2312"/>
          <w:b w:val="0"/>
          <w:color w:val="000000"/>
          <w:sz w:val="32"/>
          <w:szCs w:val="32"/>
          <w:shd w:val="clear" w:fill="FFFFFF"/>
        </w:rPr>
        <w:t>按照行业治理标准和产业集群综合整治方案等要求，组织开展评估工作，</w:t>
      </w:r>
      <w:r>
        <w:rPr>
          <w:rFonts w:hint="eastAsia" w:ascii="仿宋_GB2312" w:hAnsi="仿宋_GB2312" w:eastAsia="仿宋_GB2312" w:cs="仿宋_GB2312"/>
          <w:kern w:val="2"/>
          <w:sz w:val="32"/>
          <w:szCs w:val="32"/>
          <w:lang w:val="en-US" w:eastAsia="zh-CN" w:bidi="ar-SA"/>
        </w:rPr>
        <w:t>对照</w:t>
      </w:r>
      <w:r>
        <w:rPr>
          <w:rFonts w:hint="eastAsia" w:ascii="仿宋_GB2312" w:hAnsi="仿宋_GB2312" w:eastAsia="仿宋_GB2312" w:cs="仿宋_GB2312"/>
          <w:b w:val="0"/>
          <w:color w:val="000000"/>
          <w:sz w:val="32"/>
          <w:szCs w:val="32"/>
          <w:shd w:val="clear" w:fill="FFFFFF"/>
          <w:lang w:eastAsia="zh-CN"/>
        </w:rPr>
        <w:t>工业炉窑</w:t>
      </w:r>
      <w:r>
        <w:rPr>
          <w:rFonts w:hint="eastAsia" w:ascii="仿宋" w:hAnsi="仿宋" w:eastAsia="仿宋" w:cs="仿宋"/>
          <w:sz w:val="32"/>
          <w:szCs w:val="32"/>
          <w:lang w:val="en-US" w:eastAsia="zh-CN"/>
        </w:rPr>
        <w:t>大气污染综合治理</w:t>
      </w:r>
      <w:r>
        <w:rPr>
          <w:rFonts w:hint="eastAsia" w:ascii="仿宋_GB2312" w:hAnsi="仿宋_GB2312" w:eastAsia="仿宋_GB2312" w:cs="仿宋_GB2312"/>
          <w:b w:val="0"/>
          <w:color w:val="000000"/>
          <w:sz w:val="32"/>
          <w:szCs w:val="32"/>
          <w:shd w:val="clear" w:fill="FFFFFF"/>
          <w:lang w:eastAsia="zh-CN"/>
        </w:rPr>
        <w:t>全口径动态</w:t>
      </w:r>
      <w:r>
        <w:rPr>
          <w:rFonts w:hint="eastAsia" w:ascii="仿宋_GB2312" w:hAnsi="仿宋_GB2312" w:eastAsia="仿宋_GB2312" w:cs="仿宋_GB2312"/>
          <w:b w:val="0"/>
          <w:color w:val="000000"/>
          <w:sz w:val="32"/>
          <w:szCs w:val="32"/>
          <w:shd w:val="clear" w:fill="FFFFFF"/>
        </w:rPr>
        <w:t>管理</w:t>
      </w:r>
      <w:r>
        <w:rPr>
          <w:rFonts w:hint="eastAsia" w:ascii="仿宋_GB2312" w:hAnsi="仿宋_GB2312" w:eastAsia="仿宋_GB2312" w:cs="仿宋_GB2312"/>
          <w:b w:val="0"/>
          <w:color w:val="000000"/>
          <w:sz w:val="32"/>
          <w:szCs w:val="32"/>
          <w:shd w:val="clear" w:fill="FFFFFF"/>
          <w:lang w:eastAsia="zh-CN"/>
        </w:rPr>
        <w:t>清单</w:t>
      </w:r>
      <w:r>
        <w:rPr>
          <w:rFonts w:hint="eastAsia" w:ascii="仿宋_GB2312" w:hAnsi="仿宋_GB2312" w:eastAsia="仿宋_GB2312" w:cs="仿宋_GB2312"/>
          <w:kern w:val="2"/>
          <w:sz w:val="32"/>
          <w:szCs w:val="32"/>
          <w:lang w:val="en-US" w:eastAsia="zh-CN" w:bidi="ar-SA"/>
        </w:rPr>
        <w:t>，逐一核实，挂账销号，</w:t>
      </w:r>
      <w:r>
        <w:rPr>
          <w:rFonts w:hint="eastAsia" w:ascii="仿宋_GB2312" w:hAnsi="仿宋_GB2312" w:eastAsia="仿宋_GB2312" w:cs="仿宋_GB2312"/>
          <w:b w:val="0"/>
          <w:color w:val="000000"/>
          <w:sz w:val="32"/>
          <w:szCs w:val="32"/>
          <w:shd w:val="clear" w:fill="FFFFFF"/>
        </w:rPr>
        <w:t>严把工程建设质量，严防建设简易低效环保治理设施。</w:t>
      </w:r>
    </w:p>
    <w:p>
      <w:pPr>
        <w:pStyle w:val="5"/>
        <w:keepNext w:val="0"/>
        <w:keepLines w:val="0"/>
        <w:widowControl/>
        <w:suppressLineNumbers w:val="0"/>
        <w:spacing w:line="540" w:lineRule="atLeast"/>
        <w:ind w:firstLine="643" w:firstLineChars="200"/>
        <w:rPr>
          <w:rFonts w:hint="eastAsia" w:ascii="仿宋_GB2312" w:hAnsi="仿宋_GB2312" w:eastAsia="仿宋_GB2312" w:cs="仿宋_GB2312"/>
          <w:b w:val="0"/>
          <w:color w:val="000000"/>
          <w:sz w:val="32"/>
          <w:szCs w:val="32"/>
          <w:shd w:val="clear" w:fill="FFFFFF"/>
        </w:rPr>
      </w:pPr>
      <w:r>
        <w:rPr>
          <w:rFonts w:hint="eastAsia" w:ascii="楷体" w:hAnsi="楷体" w:eastAsia="楷体" w:cs="楷体"/>
          <w:b/>
          <w:bCs/>
          <w:color w:val="000000"/>
          <w:sz w:val="32"/>
          <w:szCs w:val="32"/>
          <w:shd w:val="clear" w:fill="FFFFFF"/>
        </w:rPr>
        <w:t>（</w:t>
      </w:r>
      <w:r>
        <w:rPr>
          <w:rFonts w:hint="eastAsia" w:ascii="楷体" w:hAnsi="楷体" w:eastAsia="楷体" w:cs="楷体"/>
          <w:b/>
          <w:bCs/>
          <w:color w:val="000000"/>
          <w:sz w:val="32"/>
          <w:szCs w:val="32"/>
          <w:shd w:val="clear" w:fill="FFFFFF"/>
          <w:lang w:eastAsia="zh-CN"/>
        </w:rPr>
        <w:t>四</w:t>
      </w:r>
      <w:r>
        <w:rPr>
          <w:rFonts w:hint="eastAsia" w:ascii="楷体" w:hAnsi="楷体" w:eastAsia="楷体" w:cs="楷体"/>
          <w:b/>
          <w:bCs/>
          <w:color w:val="000000"/>
          <w:sz w:val="32"/>
          <w:szCs w:val="32"/>
          <w:shd w:val="clear" w:fill="FFFFFF"/>
        </w:rPr>
        <w:t>）</w:t>
      </w:r>
      <w:r>
        <w:rPr>
          <w:rFonts w:hint="eastAsia" w:ascii="楷体" w:hAnsi="楷体" w:eastAsia="楷体" w:cs="楷体"/>
          <w:b/>
          <w:bCs/>
          <w:color w:val="000000"/>
          <w:sz w:val="32"/>
          <w:szCs w:val="32"/>
          <w:shd w:val="clear" w:fill="FFFFFF"/>
          <w:lang w:eastAsia="zh-CN"/>
        </w:rPr>
        <w:t>加强执法监管</w:t>
      </w:r>
      <w:r>
        <w:rPr>
          <w:rFonts w:hint="eastAsia" w:ascii="楷体" w:hAnsi="楷体" w:eastAsia="楷体" w:cs="楷体"/>
          <w:b/>
          <w:bCs/>
          <w:color w:val="000000"/>
          <w:sz w:val="32"/>
          <w:szCs w:val="32"/>
          <w:shd w:val="clear" w:fill="FFFFFF"/>
        </w:rPr>
        <w:t>。</w:t>
      </w:r>
      <w:r>
        <w:rPr>
          <w:rFonts w:hint="eastAsia" w:ascii="仿宋_GB2312" w:hAnsi="仿宋_GB2312" w:eastAsia="仿宋_GB2312" w:cs="仿宋_GB2312"/>
          <w:b w:val="0"/>
          <w:color w:val="000000"/>
          <w:sz w:val="32"/>
          <w:szCs w:val="32"/>
          <w:shd w:val="clear" w:fill="FFFFFF"/>
        </w:rPr>
        <w:t>各</w:t>
      </w:r>
      <w:r>
        <w:rPr>
          <w:rFonts w:hint="eastAsia" w:ascii="仿宋_GB2312" w:hAnsi="仿宋_GB2312" w:eastAsia="仿宋_GB2312" w:cs="仿宋_GB2312"/>
          <w:b w:val="0"/>
          <w:color w:val="000000"/>
          <w:sz w:val="32"/>
          <w:szCs w:val="32"/>
          <w:shd w:val="clear" w:fill="FFFFFF"/>
          <w:lang w:eastAsia="zh-CN"/>
        </w:rPr>
        <w:t>市</w:t>
      </w:r>
      <w:r>
        <w:rPr>
          <w:rFonts w:hint="eastAsia" w:ascii="仿宋_GB2312" w:hAnsi="仿宋_GB2312" w:eastAsia="仿宋_GB2312" w:cs="仿宋_GB2312"/>
          <w:b w:val="0"/>
          <w:color w:val="000000"/>
          <w:sz w:val="32"/>
          <w:szCs w:val="32"/>
          <w:shd w:val="clear" w:fill="FFFFFF"/>
        </w:rPr>
        <w:t>要加强</w:t>
      </w:r>
      <w:r>
        <w:rPr>
          <w:rFonts w:hint="eastAsia" w:ascii="仿宋_GB2312" w:hAnsi="仿宋_GB2312" w:eastAsia="仿宋_GB2312" w:cs="仿宋_GB2312"/>
          <w:b w:val="0"/>
          <w:color w:val="000000"/>
          <w:sz w:val="32"/>
          <w:szCs w:val="32"/>
          <w:shd w:val="clear" w:fill="FFFFFF"/>
          <w:lang w:eastAsia="zh-CN"/>
        </w:rPr>
        <w:t>对</w:t>
      </w:r>
      <w:r>
        <w:rPr>
          <w:rFonts w:hint="eastAsia" w:ascii="仿宋_GB2312" w:hAnsi="仿宋_GB2312" w:eastAsia="仿宋_GB2312" w:cs="仿宋_GB2312"/>
          <w:b w:val="0"/>
          <w:color w:val="000000"/>
          <w:sz w:val="32"/>
          <w:szCs w:val="32"/>
          <w:shd w:val="clear" w:fill="FFFFFF"/>
        </w:rPr>
        <w:t>工业炉窑</w:t>
      </w:r>
      <w:r>
        <w:rPr>
          <w:rFonts w:hint="eastAsia" w:ascii="仿宋_GB2312" w:hAnsi="仿宋_GB2312" w:eastAsia="仿宋_GB2312" w:cs="仿宋_GB2312"/>
          <w:b w:val="0"/>
          <w:color w:val="000000"/>
          <w:sz w:val="32"/>
          <w:szCs w:val="32"/>
          <w:shd w:val="clear" w:fill="FFFFFF"/>
          <w:lang w:eastAsia="zh-CN"/>
        </w:rPr>
        <w:t>大气污染综合整治情况的</w:t>
      </w:r>
      <w:r>
        <w:rPr>
          <w:rFonts w:hint="eastAsia" w:ascii="仿宋_GB2312" w:hAnsi="仿宋_GB2312" w:eastAsia="仿宋_GB2312" w:cs="仿宋_GB2312"/>
          <w:b w:val="0"/>
          <w:color w:val="000000"/>
          <w:sz w:val="32"/>
          <w:szCs w:val="32"/>
          <w:shd w:val="clear" w:fill="FFFFFF"/>
        </w:rPr>
        <w:t>日常监督和执法检查，严厉打击违法排污行为。对不达标、未按证排污的，综合运用按日连续计罚、查封扣押、限产停产等手段，依法严格处罚，并定期向社会通报。</w:t>
      </w:r>
      <w:r>
        <w:rPr>
          <w:rFonts w:hint="eastAsia" w:ascii="仿宋_GB2312" w:hAnsi="仿宋_GB2312" w:eastAsia="仿宋_GB2312" w:cs="仿宋_GB2312"/>
          <w:b w:val="0"/>
          <w:color w:val="000000"/>
          <w:sz w:val="32"/>
          <w:szCs w:val="32"/>
          <w:shd w:val="clear" w:fill="FFFFFF"/>
          <w:lang w:eastAsia="zh-CN"/>
        </w:rPr>
        <w:t>对严重违法排污企业（存在偷排暗排，监测数据弄虚作假，环保违法屡罚屡犯，被责令限制生产后仍然超过污染物排放标准排放污染物，主要污染物排放超过年度总量指标，重污染预警期间超标排污，以及其他严重污染环境行为的企业）</w:t>
      </w:r>
      <w:r>
        <w:rPr>
          <w:rFonts w:hint="eastAsia" w:ascii="仿宋_GB2312" w:hAnsi="仿宋_GB2312" w:eastAsia="仿宋_GB2312" w:cs="仿宋_GB2312"/>
          <w:b w:val="0"/>
          <w:color w:val="000000"/>
          <w:sz w:val="32"/>
          <w:szCs w:val="32"/>
          <w:shd w:val="clear" w:fill="FFFFFF"/>
        </w:rPr>
        <w:t>，</w:t>
      </w:r>
      <w:r>
        <w:rPr>
          <w:rFonts w:hint="eastAsia" w:ascii="仿宋_GB2312" w:hAnsi="仿宋_GB2312" w:eastAsia="仿宋_GB2312" w:cs="仿宋_GB2312"/>
          <w:b w:val="0"/>
          <w:color w:val="000000"/>
          <w:sz w:val="32"/>
          <w:szCs w:val="32"/>
          <w:shd w:val="clear" w:fill="FFFFFF"/>
          <w:lang w:val="en-US" w:eastAsia="zh-CN"/>
        </w:rPr>
        <w:t>各市要依法采取停产整治措施或报请市政府决定停业、关闭</w:t>
      </w:r>
      <w:r>
        <w:rPr>
          <w:rFonts w:hint="eastAsia" w:ascii="仿宋_GB2312" w:hAnsi="仿宋_GB2312" w:eastAsia="仿宋_GB2312" w:cs="仿宋_GB2312"/>
          <w:b w:val="0"/>
          <w:color w:val="000000"/>
          <w:sz w:val="32"/>
          <w:szCs w:val="32"/>
          <w:shd w:val="clear" w:fill="FFFFFF"/>
        </w:rPr>
        <w:t>。</w:t>
      </w:r>
    </w:p>
    <w:p>
      <w:pPr>
        <w:pStyle w:val="5"/>
        <w:keepNext w:val="0"/>
        <w:keepLines w:val="0"/>
        <w:widowControl/>
        <w:suppressLineNumbers w:val="0"/>
        <w:spacing w:line="540" w:lineRule="atLeast"/>
        <w:ind w:firstLine="640" w:firstLineChars="200"/>
        <w:jc w:val="both"/>
        <w:rPr>
          <w:rFonts w:hint="eastAsia" w:ascii="仿宋_GB2312" w:hAnsi="仿宋_GB2312" w:eastAsia="仿宋_GB2312" w:cs="仿宋_GB2312"/>
          <w:b w:val="0"/>
          <w:color w:val="000000"/>
          <w:sz w:val="32"/>
          <w:szCs w:val="32"/>
          <w:shd w:val="clear" w:fill="FFFFFF"/>
          <w:lang w:val="en-US" w:eastAsia="zh-CN"/>
        </w:rPr>
      </w:pPr>
      <w:r>
        <w:rPr>
          <w:rFonts w:hint="eastAsia" w:ascii="仿宋_GB2312" w:hAnsi="仿宋_GB2312" w:eastAsia="仿宋_GB2312" w:cs="仿宋_GB2312"/>
          <w:b w:val="0"/>
          <w:color w:val="000000"/>
          <w:sz w:val="32"/>
          <w:szCs w:val="32"/>
          <w:shd w:val="clear" w:fill="FFFFFF"/>
        </w:rPr>
        <w:t>省生态环境厅会同有关部门建立</w:t>
      </w:r>
      <w:r>
        <w:rPr>
          <w:rFonts w:hint="eastAsia" w:ascii="仿宋_GB2312" w:hAnsi="仿宋_GB2312" w:eastAsia="仿宋_GB2312" w:cs="仿宋_GB2312"/>
          <w:b w:val="0"/>
          <w:color w:val="000000"/>
          <w:sz w:val="32"/>
          <w:szCs w:val="32"/>
          <w:shd w:val="clear" w:fill="FFFFFF"/>
          <w:lang w:eastAsia="zh-CN"/>
        </w:rPr>
        <w:t>工业炉窑</w:t>
      </w:r>
      <w:r>
        <w:rPr>
          <w:rFonts w:hint="eastAsia" w:ascii="仿宋" w:hAnsi="仿宋" w:eastAsia="仿宋" w:cs="仿宋"/>
          <w:sz w:val="32"/>
          <w:szCs w:val="32"/>
          <w:lang w:val="en-US" w:eastAsia="zh-CN"/>
        </w:rPr>
        <w:t>大气污染综合治理</w:t>
      </w:r>
      <w:r>
        <w:rPr>
          <w:rFonts w:hint="eastAsia" w:ascii="仿宋_GB2312" w:hAnsi="仿宋_GB2312" w:eastAsia="仿宋_GB2312" w:cs="仿宋_GB2312"/>
          <w:b w:val="0"/>
          <w:color w:val="000000"/>
          <w:sz w:val="32"/>
          <w:szCs w:val="32"/>
          <w:shd w:val="clear" w:fill="FFFFFF"/>
          <w:lang w:eastAsia="zh-CN"/>
        </w:rPr>
        <w:t>全口径动态</w:t>
      </w:r>
      <w:r>
        <w:rPr>
          <w:rFonts w:hint="eastAsia" w:ascii="仿宋_GB2312" w:hAnsi="仿宋_GB2312" w:eastAsia="仿宋_GB2312" w:cs="仿宋_GB2312"/>
          <w:b w:val="0"/>
          <w:color w:val="000000"/>
          <w:sz w:val="32"/>
          <w:szCs w:val="32"/>
          <w:shd w:val="clear" w:fill="FFFFFF"/>
        </w:rPr>
        <w:t>管理</w:t>
      </w:r>
      <w:r>
        <w:rPr>
          <w:rFonts w:hint="eastAsia" w:ascii="仿宋_GB2312" w:hAnsi="仿宋_GB2312" w:eastAsia="仿宋_GB2312" w:cs="仿宋_GB2312"/>
          <w:b w:val="0"/>
          <w:color w:val="000000"/>
          <w:sz w:val="32"/>
          <w:szCs w:val="32"/>
          <w:shd w:val="clear" w:fill="FFFFFF"/>
          <w:lang w:eastAsia="zh-CN"/>
        </w:rPr>
        <w:t>清单（附件</w:t>
      </w:r>
      <w:r>
        <w:rPr>
          <w:rFonts w:hint="eastAsia" w:ascii="仿宋_GB2312" w:hAnsi="仿宋_GB2312" w:eastAsia="仿宋_GB2312" w:cs="仿宋_GB2312"/>
          <w:b w:val="0"/>
          <w:color w:val="000000"/>
          <w:sz w:val="32"/>
          <w:szCs w:val="32"/>
          <w:shd w:val="clear" w:fill="FFFFFF"/>
          <w:lang w:val="en-US" w:eastAsia="zh-CN"/>
        </w:rPr>
        <w:t>5</w:t>
      </w:r>
      <w:r>
        <w:rPr>
          <w:rFonts w:hint="eastAsia" w:ascii="仿宋_GB2312" w:hAnsi="仿宋_GB2312" w:eastAsia="仿宋_GB2312" w:cs="仿宋_GB2312"/>
          <w:b w:val="0"/>
          <w:color w:val="000000"/>
          <w:sz w:val="32"/>
          <w:szCs w:val="32"/>
          <w:shd w:val="clear" w:fill="FFFFFF"/>
          <w:lang w:eastAsia="zh-CN"/>
        </w:rPr>
        <w:t>）</w:t>
      </w:r>
      <w:r>
        <w:rPr>
          <w:rFonts w:hint="eastAsia" w:ascii="仿宋_GB2312" w:hAnsi="仿宋_GB2312" w:eastAsia="仿宋_GB2312" w:cs="仿宋_GB2312"/>
          <w:b w:val="0"/>
          <w:color w:val="000000"/>
          <w:sz w:val="32"/>
          <w:szCs w:val="32"/>
          <w:shd w:val="clear" w:fill="FFFFFF"/>
        </w:rPr>
        <w:t>，</w:t>
      </w:r>
      <w:r>
        <w:rPr>
          <w:rFonts w:hint="eastAsia" w:ascii="仿宋_GB2312" w:hAnsi="仿宋_GB2312" w:eastAsia="仿宋_GB2312" w:cs="仿宋_GB2312"/>
          <w:b w:val="0"/>
          <w:color w:val="000000"/>
          <w:sz w:val="32"/>
          <w:szCs w:val="32"/>
          <w:shd w:val="clear" w:fill="FFFFFF"/>
          <w:lang w:eastAsia="zh-CN"/>
        </w:rPr>
        <w:t>每月</w:t>
      </w:r>
      <w:r>
        <w:rPr>
          <w:rFonts w:hint="eastAsia" w:ascii="仿宋_GB2312" w:hAnsi="仿宋_GB2312" w:eastAsia="仿宋_GB2312" w:cs="仿宋_GB2312"/>
          <w:b w:val="0"/>
          <w:color w:val="000000"/>
          <w:sz w:val="32"/>
          <w:szCs w:val="32"/>
          <w:shd w:val="clear" w:fill="FFFFFF"/>
          <w:lang w:val="en-US" w:eastAsia="zh-CN"/>
        </w:rPr>
        <w:t>25日前市级相关部门</w:t>
      </w:r>
      <w:r>
        <w:rPr>
          <w:rFonts w:hint="eastAsia" w:ascii="仿宋_GB2312" w:hAnsi="仿宋_GB2312" w:eastAsia="仿宋_GB2312" w:cs="仿宋_GB2312"/>
          <w:b w:val="0"/>
          <w:color w:val="000000"/>
          <w:sz w:val="32"/>
          <w:szCs w:val="32"/>
          <w:shd w:val="clear" w:fill="FFFFFF"/>
          <w:lang w:eastAsia="zh-CN"/>
        </w:rPr>
        <w:t>分别</w:t>
      </w:r>
      <w:r>
        <w:rPr>
          <w:rFonts w:hint="eastAsia" w:ascii="仿宋_GB2312" w:hAnsi="仿宋_GB2312" w:eastAsia="仿宋_GB2312" w:cs="仿宋_GB2312"/>
          <w:b w:val="0"/>
          <w:color w:val="000000"/>
          <w:sz w:val="32"/>
          <w:szCs w:val="32"/>
          <w:shd w:val="clear" w:fill="FFFFFF"/>
        </w:rPr>
        <w:t>报送省生态环境厅</w:t>
      </w:r>
      <w:r>
        <w:rPr>
          <w:rFonts w:hint="eastAsia" w:ascii="仿宋_GB2312" w:hAnsi="仿宋_GB2312" w:eastAsia="仿宋_GB2312" w:cs="仿宋_GB2312"/>
          <w:b w:val="0"/>
          <w:color w:val="000000"/>
          <w:sz w:val="32"/>
          <w:szCs w:val="32"/>
          <w:shd w:val="clear" w:fill="FFFFFF"/>
          <w:lang w:eastAsia="zh-CN"/>
        </w:rPr>
        <w:t>和省工业和信息化厅</w:t>
      </w:r>
      <w:r>
        <w:rPr>
          <w:rFonts w:hint="eastAsia" w:ascii="仿宋_GB2312" w:hAnsi="仿宋_GB2312" w:eastAsia="仿宋_GB2312" w:cs="仿宋_GB2312"/>
          <w:b w:val="0"/>
          <w:color w:val="00000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1.工业炉窑分类表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现有涉工业炉窑行业大气污染物排放标准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3.重点行业工业炉窑大气污染治理要求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4.无组织排放控制措施界定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_GB2312" w:hAnsi="仿宋_GB2312" w:eastAsia="仿宋_GB2312" w:cs="仿宋_GB2312"/>
          <w:b w:val="0"/>
          <w:color w:val="000000"/>
          <w:sz w:val="32"/>
          <w:szCs w:val="32"/>
          <w:shd w:val="clear" w:fill="FFFFFF"/>
          <w:lang w:eastAsia="zh-CN"/>
        </w:rPr>
        <w:t>工业炉窑</w:t>
      </w:r>
      <w:r>
        <w:rPr>
          <w:rFonts w:hint="eastAsia" w:ascii="仿宋" w:hAnsi="仿宋" w:eastAsia="仿宋" w:cs="仿宋"/>
          <w:sz w:val="32"/>
          <w:szCs w:val="32"/>
          <w:lang w:val="en-US" w:eastAsia="zh-CN"/>
        </w:rPr>
        <w:t>大气污染综合治理</w:t>
      </w:r>
      <w:r>
        <w:rPr>
          <w:rFonts w:hint="eastAsia" w:ascii="仿宋_GB2312" w:hAnsi="仿宋_GB2312" w:eastAsia="仿宋_GB2312" w:cs="仿宋_GB2312"/>
          <w:b w:val="0"/>
          <w:color w:val="000000"/>
          <w:sz w:val="32"/>
          <w:szCs w:val="32"/>
          <w:shd w:val="clear" w:fill="FFFFFF"/>
          <w:lang w:eastAsia="zh-CN"/>
        </w:rPr>
        <w:t>全口径动态</w:t>
      </w:r>
      <w:r>
        <w:rPr>
          <w:rFonts w:hint="eastAsia" w:ascii="仿宋_GB2312" w:hAnsi="仿宋_GB2312" w:eastAsia="仿宋_GB2312" w:cs="仿宋_GB2312"/>
          <w:b w:val="0"/>
          <w:color w:val="000000"/>
          <w:sz w:val="32"/>
          <w:szCs w:val="32"/>
          <w:shd w:val="clear" w:fill="FFFFFF"/>
        </w:rPr>
        <w:t>管理</w:t>
      </w:r>
      <w:r>
        <w:rPr>
          <w:rFonts w:hint="eastAsia" w:ascii="仿宋_GB2312" w:hAnsi="仿宋_GB2312" w:eastAsia="仿宋_GB2312" w:cs="仿宋_GB2312"/>
          <w:b w:val="0"/>
          <w:color w:val="000000"/>
          <w:sz w:val="32"/>
          <w:szCs w:val="32"/>
          <w:shd w:val="clear" w:fill="FFFFFF"/>
          <w:lang w:eastAsia="zh-CN"/>
        </w:rPr>
        <w:t>清单</w:t>
      </w:r>
    </w:p>
    <w:p>
      <w:pPr>
        <w:ind w:firstLine="2240" w:firstLineChars="700"/>
        <w:rPr>
          <w:rFonts w:hint="eastAsia" w:ascii="仿宋" w:hAnsi="仿宋" w:eastAsia="仿宋" w:cs="仿宋"/>
          <w:sz w:val="32"/>
          <w:szCs w:val="32"/>
          <w:lang w:val="en-US" w:eastAsia="zh-CN"/>
        </w:rPr>
      </w:pPr>
    </w:p>
    <w:p>
      <w:pPr>
        <w:ind w:firstLine="2240" w:firstLineChars="700"/>
        <w:rPr>
          <w:rFonts w:hint="eastAsia" w:ascii="仿宋" w:hAnsi="仿宋" w:eastAsia="仿宋" w:cs="仿宋"/>
          <w:sz w:val="32"/>
          <w:szCs w:val="32"/>
          <w:lang w:val="en-US" w:eastAsia="zh-CN"/>
        </w:rPr>
      </w:pPr>
    </w:p>
    <w:p>
      <w:pPr>
        <w:ind w:firstLine="2240" w:firstLineChars="700"/>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山西省生态环境厅</w:t>
      </w: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2019年9月6日</w:t>
      </w:r>
    </w:p>
    <w:p>
      <w:pPr>
        <w:ind w:firstLine="4160" w:firstLineChars="1300"/>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sectPr>
          <w:footerReference r:id="rId3" w:type="default"/>
          <w:pgSz w:w="11906" w:h="16838"/>
          <w:pgMar w:top="1440" w:right="1803" w:bottom="1440" w:left="1803" w:header="851" w:footer="992" w:gutter="0"/>
          <w:cols w:space="0" w:num="1"/>
          <w:rtlGutter w:val="0"/>
          <w:docGrid w:type="lines" w:linePitch="319"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rPr>
      </w:pPr>
      <w:r>
        <w:rPr>
          <w:rStyle w:val="9"/>
          <w:rFonts w:hint="eastAsia" w:ascii="微软雅黑" w:hAnsi="微软雅黑" w:eastAsia="微软雅黑" w:cs="微软雅黑"/>
          <w:color w:val="000000"/>
          <w:shd w:val="clear" w:fill="FFFFFF"/>
        </w:rPr>
        <w:t>附件</w:t>
      </w:r>
      <w:r>
        <w:rPr>
          <w:rStyle w:val="9"/>
          <w:rFonts w:hint="eastAsia" w:ascii="微软雅黑" w:hAnsi="微软雅黑" w:eastAsia="微软雅黑" w:cs="微软雅黑"/>
          <w:color w:val="000000"/>
          <w:shd w:val="clear" w:fill="FFFFFF"/>
          <w:lang w:val="en-US" w:eastAsia="zh-CN"/>
        </w:rPr>
        <w:t>1</w:t>
      </w:r>
      <w:r>
        <w:rPr>
          <w:rStyle w:val="9"/>
          <w:rFonts w:hint="eastAsia" w:ascii="微软雅黑" w:hAnsi="微软雅黑" w:eastAsia="微软雅黑" w:cs="微软雅黑"/>
          <w:color w:val="000000"/>
          <w:shd w:val="clear"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sz w:val="40"/>
          <w:szCs w:val="40"/>
        </w:rPr>
      </w:pPr>
      <w:r>
        <w:rPr>
          <w:rStyle w:val="9"/>
          <w:rFonts w:hint="eastAsia" w:ascii="方正小标宋简体" w:hAnsi="方正小标宋简体" w:eastAsia="方正小标宋简体" w:cs="方正小标宋简体"/>
          <w:color w:val="000000"/>
          <w:sz w:val="40"/>
          <w:szCs w:val="40"/>
          <w:shd w:val="clear" w:fill="FFFFFF"/>
        </w:rPr>
        <w:t>工业炉窑分类表</w:t>
      </w:r>
    </w:p>
    <w:tbl>
      <w:tblPr>
        <w:tblStyle w:val="6"/>
        <w:tblW w:w="12375" w:type="dxa"/>
        <w:jc w:val="center"/>
        <w:tblInd w:w="-2489"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1155"/>
        <w:gridCol w:w="1412"/>
        <w:gridCol w:w="2833"/>
        <w:gridCol w:w="5417"/>
        <w:gridCol w:w="155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cantSplit/>
          <w:trHeight w:val="454"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炉窑类型</w:t>
            </w: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行业类别</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产品类别</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bookmarkStart w:id="0" w:name="_GoBack"/>
            <w:bookmarkEnd w:id="0"/>
            <w:r>
              <w:rPr>
                <w:rFonts w:hint="eastAsia" w:ascii="宋体" w:hAnsi="宋体" w:eastAsia="宋体" w:cs="宋体"/>
                <w:b/>
                <w:color w:val="000000"/>
                <w:kern w:val="0"/>
                <w:sz w:val="21"/>
                <w:szCs w:val="21"/>
                <w:lang w:val="en-US" w:eastAsia="zh-CN" w:bidi="ar"/>
              </w:rPr>
              <w:t>炉窑子类</w:t>
            </w:r>
          </w:p>
        </w:tc>
        <w:tc>
          <w:tcPr>
            <w:tcW w:w="15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说  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454" w:hRule="atLeast"/>
          <w:jc w:val="center"/>
        </w:trPr>
        <w:tc>
          <w:tcPr>
            <w:tcW w:w="11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熔炼炉</w:t>
            </w:r>
          </w:p>
        </w:tc>
        <w:tc>
          <w:tcPr>
            <w:tcW w:w="141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钢铁</w:t>
            </w:r>
          </w:p>
        </w:tc>
        <w:tc>
          <w:tcPr>
            <w:tcW w:w="283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粗钢/生铁</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炼铁高炉</w:t>
            </w:r>
          </w:p>
        </w:tc>
        <w:tc>
          <w:tcPr>
            <w:tcW w:w="155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将物料熔化，使其发生物理化学变化、去除杂质，获得设定组分产品的工业炉窑。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454"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283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炼钢转炉、炼钢电炉、铁水预处理炉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839"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铁合金</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铁合金</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spacing w:val="-4"/>
                <w:kern w:val="0"/>
                <w:sz w:val="21"/>
                <w:szCs w:val="21"/>
                <w:lang w:val="en-US" w:eastAsia="zh-CN" w:bidi="ar"/>
              </w:rPr>
              <w:t>还原矿热电炉、精炼电炉、锰铁高炉、富锰渣高炉、精炼转炉、</w:t>
            </w:r>
            <w:r>
              <w:rPr>
                <w:rFonts w:hint="eastAsia" w:ascii="宋体" w:hAnsi="宋体" w:eastAsia="宋体" w:cs="宋体"/>
                <w:b w:val="0"/>
                <w:color w:val="000000"/>
                <w:kern w:val="0"/>
                <w:sz w:val="21"/>
                <w:szCs w:val="21"/>
                <w:lang w:val="en-US" w:eastAsia="zh-CN" w:bidi="ar"/>
              </w:rPr>
              <w:t>铝热法熔炼炉等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811"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有色</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铝、铜、铅、锌、钛、钴、镍、锡、锑、稀土、钒、硅等</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底（侧、顶）吹炉、闪速炉、阳极炉、转炉、反射炉、铝电解槽、矿热炉、鼓风炉等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454"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建材</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玻璃、岩矿棉等</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玻璃熔窑、岩矿棉熔炼炉等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454"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化工</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电石、黄磷等</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电石炉、黄磷炉等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454"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轻工</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日用玻璃</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玻璃熔窑等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454" w:hRule="atLeast"/>
          <w:jc w:val="center"/>
        </w:trPr>
        <w:tc>
          <w:tcPr>
            <w:tcW w:w="11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熔化炉</w:t>
            </w: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铸造</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铸件</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冲天炉、感应电炉、电弧炉、燃气炉等</w:t>
            </w:r>
          </w:p>
        </w:tc>
        <w:tc>
          <w:tcPr>
            <w:tcW w:w="155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将物料或工件熔化成液体的工业炉窑。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454"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有色</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铝、铜、铅等制品</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化铅炉、熔铝炉、熔铜炉等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454"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建材</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玻璃、玻璃纤维等制品</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玻璃、玻璃纤维熔化炉等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454"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化工</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铅、锌等重金属单质、烧碱等</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熔融炉等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焙（煅）烧炉（窑）</w:t>
            </w: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钢铁</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烧结矿、球团矿</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烧结机、球团竖炉、链篦机回转窑、球团带式焙烧机</w:t>
            </w:r>
          </w:p>
        </w:tc>
        <w:tc>
          <w:tcPr>
            <w:tcW w:w="155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对物料进行焙（煅）烧，使其发生物理化学变化或烧结成块的工业炉窑。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有色</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氧化铝、稀土、镁等</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spacing w:val="-4"/>
                <w:kern w:val="0"/>
                <w:sz w:val="21"/>
                <w:szCs w:val="21"/>
                <w:lang w:val="en-US" w:eastAsia="zh-CN" w:bidi="ar"/>
              </w:rPr>
              <w:t>焙烧炉、煅烧炉（窑）、熟料烧成窑、回转窑等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建材</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水泥</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新型干法窑、立窑等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陶瓷（含卫生陶瓷等）、搪瓷</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辊道窑、隧道窑、梭式窑等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耐火材料</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回转窑、隧道窑等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砖瓦</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隧道窑、轮窑等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石灰</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竖窑、套筒窑等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化工</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铬、钡、锶、铅、锌、锰等重金属无机化合物、硫化合物、硫酸盐、磷酸盐、无机氟化物、轻质碳酸钙、泡花碱等</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回转窑、竖窑、马蹄窑等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炭素</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焙烧炉、煅烧炉（窑）</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加热炉</w:t>
            </w:r>
          </w:p>
        </w:tc>
        <w:tc>
          <w:tcPr>
            <w:tcW w:w="424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钢铁、有色、建材、化工、石化等</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w:t>
            </w:r>
          </w:p>
        </w:tc>
        <w:tc>
          <w:tcPr>
            <w:tcW w:w="15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将物料或工件加热，提高温度但不改变其形态的工业炉窑。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热处理炉</w:t>
            </w:r>
          </w:p>
        </w:tc>
        <w:tc>
          <w:tcPr>
            <w:tcW w:w="424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钢铁、有色、铸造等</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退火炉、正火炉、回火炉、保温炉、淬火炉、固溶炉、调质炉等</w:t>
            </w:r>
          </w:p>
        </w:tc>
        <w:tc>
          <w:tcPr>
            <w:tcW w:w="15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将工件加热后进行热处理工艺（正火、回火、淬火、退火等）的工业炉窑。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干燥炉（窑）</w:t>
            </w: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农林产品、设备制造、金属制品、建材、化工等</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烟草、木材、铸造砂、砂石、矿料（渣）、化工产品、有机涂层产品等</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烘干炉（窑）、干燥炉（窑）</w:t>
            </w:r>
          </w:p>
        </w:tc>
        <w:tc>
          <w:tcPr>
            <w:tcW w:w="15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去除物料或产品中所含水分或挥发分的工业炉窑。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焦炉</w:t>
            </w:r>
          </w:p>
        </w:tc>
        <w:tc>
          <w:tcPr>
            <w:tcW w:w="141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焦化</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焦炭</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常规机焦炉、热回收焦炉等</w:t>
            </w:r>
          </w:p>
        </w:tc>
        <w:tc>
          <w:tcPr>
            <w:tcW w:w="155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对炼焦煤等进行干馏转化，生产焦炭及其他副产品的工业炉窑。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41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兰炭</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炭化炉</w:t>
            </w:r>
          </w:p>
        </w:tc>
        <w:tc>
          <w:tcPr>
            <w:tcW w:w="15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cantSplit/>
          <w:trHeight w:val="340" w:hRule="atLeast"/>
          <w:jc w:val="center"/>
        </w:trPr>
        <w:tc>
          <w:tcPr>
            <w:tcW w:w="11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煤气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发生炉</w:t>
            </w:r>
          </w:p>
        </w:tc>
        <w:tc>
          <w:tcPr>
            <w:tcW w:w="1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建材、化工、轧钢、有色等</w:t>
            </w:r>
          </w:p>
        </w:tc>
        <w:tc>
          <w:tcPr>
            <w:tcW w:w="28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w:t>
            </w:r>
          </w:p>
        </w:tc>
        <w:tc>
          <w:tcPr>
            <w:tcW w:w="5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w:t>
            </w:r>
          </w:p>
        </w:tc>
        <w:tc>
          <w:tcPr>
            <w:tcW w:w="15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以煤等为气化原料，通过与气化剂在高温下进行物理化学反应制取煤气的工业炉窑。</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9"/>
          <w:rFonts w:hint="eastAsia" w:ascii="微软雅黑" w:hAnsi="微软雅黑" w:eastAsia="微软雅黑" w:cs="微软雅黑"/>
          <w:color w:val="000000"/>
          <w:shd w:val="clear" w:fill="FFFFFF"/>
        </w:rPr>
        <w:sectPr>
          <w:footerReference r:id="rId4" w:type="default"/>
          <w:pgSz w:w="16838" w:h="11906" w:orient="landscape"/>
          <w:pgMar w:top="1803" w:right="1440" w:bottom="1803" w:left="1440" w:header="851" w:footer="992" w:gutter="0"/>
          <w:cols w:space="0" w:num="1"/>
          <w:rtlGutter w:val="0"/>
          <w:docGrid w:type="lines" w:linePitch="319"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rPr>
      </w:pPr>
      <w:r>
        <w:rPr>
          <w:rStyle w:val="9"/>
          <w:rFonts w:hint="eastAsia" w:ascii="微软雅黑" w:hAnsi="微软雅黑" w:eastAsia="微软雅黑" w:cs="微软雅黑"/>
          <w:color w:val="000000"/>
          <w:shd w:val="clear" w:fill="FFFFFF"/>
        </w:rPr>
        <w:t>附件</w:t>
      </w:r>
      <w:r>
        <w:rPr>
          <w:rStyle w:val="9"/>
          <w:rFonts w:hint="eastAsia" w:ascii="微软雅黑" w:hAnsi="微软雅黑" w:eastAsia="微软雅黑" w:cs="微软雅黑"/>
          <w:color w:val="000000"/>
          <w:shd w:val="clear" w:fill="FFFFFF"/>
          <w:lang w:val="en-US" w:eastAsia="zh-CN"/>
        </w:rPr>
        <w:t>2</w:t>
      </w:r>
      <w:r>
        <w:rPr>
          <w:rStyle w:val="9"/>
          <w:rFonts w:hint="eastAsia" w:ascii="微软雅黑" w:hAnsi="微软雅黑" w:eastAsia="微软雅黑" w:cs="微软雅黑"/>
          <w:color w:val="000000"/>
          <w:shd w:val="clear"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sz w:val="40"/>
          <w:szCs w:val="40"/>
        </w:rPr>
      </w:pPr>
      <w:r>
        <w:rPr>
          <w:rStyle w:val="9"/>
          <w:rFonts w:hint="eastAsia" w:ascii="方正小标宋简体" w:hAnsi="方正小标宋简体" w:eastAsia="方正小标宋简体" w:cs="方正小标宋简体"/>
          <w:color w:val="000000"/>
          <w:sz w:val="40"/>
          <w:szCs w:val="40"/>
          <w:shd w:val="clear" w:fill="FFFFFF"/>
        </w:rPr>
        <w:t>重点行业工业炉窑大气污染治理要求</w:t>
      </w:r>
    </w:p>
    <w:tbl>
      <w:tblPr>
        <w:tblStyle w:val="6"/>
        <w:tblW w:w="13154" w:type="dxa"/>
        <w:jc w:val="center"/>
        <w:tblInd w:w="-1976"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1521"/>
        <w:gridCol w:w="1238"/>
        <w:gridCol w:w="1039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454" w:hRule="atLeast"/>
          <w:jc w:val="center"/>
        </w:trPr>
        <w:tc>
          <w:tcPr>
            <w:tcW w:w="15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行业</w:t>
            </w: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子行业</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污染治理措施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钢铁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及焦化</w:t>
            </w: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钢铁</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按照《关于推进实施钢铁行业超低排放的意见》要求，对烧结、球团、炼铁、炼钢、轧钢、石灰窑等工业炉窑实施升级改造。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72"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焦化</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参照《关于推进实施钢铁行业超低排放的意见》要求，对焦炉等实施升级改造。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48"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铁合金</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回转窑、烧结机应配备覆膜袋式、滤筒等高效除尘设施，配备脱硫设施；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全封闭矿热炉、锰铁高炉及富锰渣高炉应设置煤气净化系统，对煤气进行回收利用；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半封闭矿热炉、精炼炉、中频感应炉应配备袋式等高效除尘设施。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31" w:hRule="atLeast"/>
          <w:jc w:val="center"/>
        </w:trPr>
        <w:tc>
          <w:tcPr>
            <w:tcW w:w="15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机械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制造</w:t>
            </w: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铸造</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铸造用生铁企业的烧结机、球团和高炉按照钢铁行业相关要求执行；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冲天炉应配备袋式除尘、滤筒除尘等高效除尘设施；配备脱硫设施，配备石灰石石膏法等脱硫设施；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中频感应电炉应配备袋式等高效除尘设施。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87" w:hRule="atLeast"/>
          <w:jc w:val="center"/>
        </w:trPr>
        <w:tc>
          <w:tcPr>
            <w:tcW w:w="152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建材</w:t>
            </w: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水泥</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水泥熟料窑应配备低氮燃烧器，采用分级燃烧等技术，窑尾配备选择性非催化还原（SNCR）、选择性催化还原（SCR）等脱硝设施；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窑头、窑尾配备覆膜袋式等高效除尘设施；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窑尾废气二氧化硫不能达标排放的应配备脱硫设施。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平板玻璃</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池窑应配备静电、袋式、电袋复合等高效除尘设施，配备石灰石石膏法等高效脱硫设施，配备SCR等脱硝设施；重点区域应取消脱硫、脱硝烟气旁路或设置备用脱硫、脱硝设施。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玻璃纤维</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池窑应配备静电、袋式、电袋复合等高效除尘设施，配备石灰石石膏法等高效脱硫设施，配备SCR等脱硝设施；鼓励采用富氧或全氧燃烧方式。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79" w:hRule="atLeast"/>
          <w:jc w:val="center"/>
        </w:trPr>
        <w:tc>
          <w:tcPr>
            <w:tcW w:w="152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建材</w:t>
            </w: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其他玻璃</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熔窑（全电熔窑和全氧燃烧熔窑除外）均应配备SCR等脱硝设施；以煤、石油焦、重油等为燃料的熔窑应配备袋式等除尘设施，配备石灰石石膏法等高效脱硫设施，以天然气为燃料的熔窑废气颗粒物、二氧化硫不能达标排放的应配备除尘、脱硫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45"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陶瓷</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以煤（含煤气）、石油焦、重油等为燃料的炉窑应配备除尘设施，配备石灰石石膏法等高效脱硫设施；以天然气为燃料的炉窑废气颗粒物不能达标排放的配备除尘设施。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喷雾干燥塔应配备袋式等高效除尘设施，配备石灰石石膏法等高效脱硫设施，配备SNCR脱硝设施。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砖瓦</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以煤、煤矸石等为燃料的烧结砖瓦窑应配备高效除尘设施，配备石灰石石膏法等高效脱硫设施；以天然气为燃料的烧结砖瓦窑配备除尘设施。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68"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耐火材料</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超高温竖窑、回转窑应配备覆膜袋式等高效除尘设施，其他耐火材料窑应配备袋式等除尘设施；以煤（含煤气）、重油等为燃料以及使用含硫粘结剂的，应配备石灰石石膏法等高效脱硫设施；超高温竖窑、回转窑、高温隧道窑应配备SCR、SNCR等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石灰</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石灰窑应配备覆膜袋式等高效除尘设施；二氧化硫不能达标排放的应配备脱硫设施。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43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矿物棉</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以煤（含煤气）、焦炭等为燃料的冲天炉、熔化炉、池窑，应配备覆膜袋式等高效除尘设施，配备石灰石石膏法等高效脱硫设施，配备SCR等脱硝设施；以天然气为燃料的熔化炉、池窑应配备袋式等除尘设施，配备SCR等脱硝设施，二氧化硫排放不达标的应配备脱硫设施；电熔炉废气颗粒物、二氧化硫排放不达标的应配备除尘脱硫设施。固化炉等应配备VOCs治理措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07" w:hRule="atLeast"/>
          <w:jc w:val="center"/>
        </w:trPr>
        <w:tc>
          <w:tcPr>
            <w:tcW w:w="152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有色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冶炼</w:t>
            </w: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氧化铝</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熟料烧成窑、氢氧化铝焙烧炉、石灰炉（窑）等应配备高效静电或电袋复合除尘设施；以发生炉煤气为燃料的，应对煤气进行前脱硫，或焙烧炉烟气配备石灰石石膏法等高效脱硫设施；熟料烧成窑应配备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电解铝（轻金属）</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电解槽应配备袋式等高效除尘设施，配备石灰石石膏法等高效脱硫设施。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镁、钛（轻金属）</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煅烧炉、回转窑等应配备袋式等高效除尘设施，配备石灰石石膏法等脱硫设施；配备SCR等高效脱硝设施。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铅、锌、铜、镍、钴、锡、锑、钒（重金属）</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熔炼炉应配备覆膜袋式等高效除尘设施；铅、锌、铜、镍、锡配备两转两吸制酸工艺，制酸尾气二氧化硫排放不达标的配备脱硫设施，钴、锑、钒熔炼炉尾气应配备脱硫设施；重点区域配备活性炭吸附、双氧水、金属氧化物吸收法等高效脱硫设施。环境烟气应全部收集，配备袋式等高效除尘设施，配备活性炭吸附、双氧水、金属氧化物吸收法等高效脱硫设施。配备高效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钼（稀有金属）</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焙烧炉等应配备袋式等高效除尘设施，配备制酸工艺。重点区域按照颗粒物、二氧化硫、氮氧化物排放分别不高于10、100、100毫克/立方米进行改造，配备高效脱硫脱硝除尘设施。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再生铜、铝、铅、锌</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熔炼炉、精炼炉等应配备覆膜袋式等高效除尘设施；再生铅应配备高效脱硫设施，再生铜、铝、锌达不到排放标准的，配备脱硫设施。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7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金属冶炼废渣（灰）二次提取</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应配备覆膜袋式等高效除尘设施，二氧化硫排放达不到200毫克/立方米的应配备脱硫设施。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生产无机化工产品的，执行无机化工排放控制要求。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稀土</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煅烧窑等应配备袋式等高效除尘设施；二氧化硫、氮氧化物排放不达标的，应配备脱硫脱硝设施。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工业硅</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矿热炉等应配备袋式等除尘设施；二氧化硫、氮氧化物排放不达标的，应配备脱硫脱硝设施。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755" w:hRule="atLeast"/>
          <w:jc w:val="center"/>
        </w:trPr>
        <w:tc>
          <w:tcPr>
            <w:tcW w:w="152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化工</w:t>
            </w: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氮肥</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硫磺回收尾气应配备高效脱硫设施；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固定床间歇式煤气化炉应配备高效吹风气余热回收或三废混燃系统，配备袋式等高效除尘设施，配备石灰石石膏法等高效脱硫设施，配备SCR等高效脱硝设施；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以天然气为原料的一段转化炉应配备低氮燃烧、脱硝等设施；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造粒塔应配套高效除尘设施；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以煤为燃料的干燥窑应配备除尘、脱硫设施。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铬盐</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铬矿、氧化铬等焙烧窑及铬渣解毒窑应配备袋式等高效除尘设施；二氧化硫、氮氧化物排放不达标的，应配备脱硫脱硝设施。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炭素</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焙烧炉、煅烧炉（窑）应配备覆膜袋式等高效除尘设施，配备石灰石石膏法等高效脱硫设施，配备SCR、SNCR等高效脱硝设施。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63"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电石</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密闭型电石炉应配备袋式等高效除尘设施；内燃型电石炉应配备布袋等高效除尘设施，配备高效脱硫设施。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炭材干燥炉应配备除尘、脱硫设施。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黄磷</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黄磷炉尾气应净化后回收利用，利用率不低于85%。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活性炭</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煤基活性炭炭化炉应配备除尘、脱硫设施，配备焚烧炉等去除VOCs；配备低氮燃烧、SNCR等脱硝设施。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煤基活性炭活化炉应配备尾气焚烧炉，配备高效除尘设施；二氧化硫排放不达标的，应配备脱硫设施。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活性炭干燥窑应配备除尘、脱硫设施。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泡花碱</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马蹄窑应配备袋式、静电等高效除尘设施，配备石灰石石膏法等高效脱硫设施，配备SCR、SNCR等脱硝设施。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其他无机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化工</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煅烧窑、焙烧窑应配备袋式、静电等高效除尘设施；配备石灰石石膏法等高效脱硫设施；氮氧化物排放不达标的，应配备脱硝设施。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轻工</w:t>
            </w: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日用玻璃</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 xml:space="preserve">熔窑（全电熔窑和全氧燃烧熔窑除外）均应配备SCR等脱硝设施；以煤、石油焦、重油等为燃料的熔窑应配备袋式等除尘设施，配备石灰石石膏法等高效脱硫设施，以天然气为燃料的熔窑废气颗粒物、二氧化硫不能达标排放的应配备除尘、脱硫设施。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4" w:hRule="atLeast"/>
          <w:jc w:val="center"/>
        </w:trPr>
        <w:tc>
          <w:tcPr>
            <w:tcW w:w="15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石化</w:t>
            </w:r>
          </w:p>
        </w:tc>
        <w:tc>
          <w:tcPr>
            <w:tcW w:w="12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w:t>
            </w:r>
          </w:p>
        </w:tc>
        <w:tc>
          <w:tcPr>
            <w:tcW w:w="103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加热炉、裂解炉应以经过脱硫的燃料气为燃料，采用低氮燃烧技术。</w:t>
            </w:r>
          </w:p>
        </w:tc>
      </w:tr>
    </w:tbl>
    <w:p>
      <w:pPr>
        <w:rPr>
          <w:rFonts w:hint="default"/>
          <w:lang w:val="en-US" w:eastAsia="zh-CN"/>
        </w:rPr>
        <w:sectPr>
          <w:footerReference r:id="rId5" w:type="default"/>
          <w:pgSz w:w="16838" w:h="11906" w:orient="landscape"/>
          <w:pgMar w:top="1803" w:right="1440" w:bottom="1803" w:left="1440" w:header="851" w:footer="992" w:gutter="0"/>
          <w:cols w:space="0" w:num="1"/>
          <w:rtlGutter w:val="0"/>
          <w:docGrid w:type="lines" w:linePitch="319" w:charSpace="0"/>
        </w:sectPr>
      </w:pPr>
      <w:r>
        <w:rPr>
          <w:rFonts w:ascii="楷体" w:hAnsi="楷体" w:eastAsia="楷体" w:cs="楷体"/>
          <w:color w:val="000000"/>
          <w:kern w:val="0"/>
          <w:sz w:val="21"/>
          <w:szCs w:val="21"/>
          <w:shd w:val="clear" w:fill="FFFFFF"/>
          <w:lang w:val="en-US" w:eastAsia="zh-CN" w:bidi="ar"/>
        </w:rPr>
        <w:t>注：工业炉窑生产工艺过程及相关物料储存、输送等无组织排放，按照“重点</w:t>
      </w:r>
      <w:r>
        <w:rPr>
          <w:rFonts w:hint="eastAsia" w:ascii="楷体" w:hAnsi="楷体" w:eastAsia="楷体" w:cs="楷体"/>
          <w:color w:val="000000"/>
          <w:kern w:val="0"/>
          <w:sz w:val="21"/>
          <w:szCs w:val="21"/>
          <w:shd w:val="clear" w:fill="FFFFFF"/>
          <w:lang w:val="en-US" w:eastAsia="zh-CN" w:bidi="ar"/>
        </w:rPr>
        <w:t>整治</w:t>
      </w:r>
      <w:r>
        <w:rPr>
          <w:rFonts w:ascii="楷体" w:hAnsi="楷体" w:eastAsia="楷体" w:cs="楷体"/>
          <w:color w:val="000000"/>
          <w:kern w:val="0"/>
          <w:sz w:val="21"/>
          <w:szCs w:val="21"/>
          <w:shd w:val="clear" w:fill="FFFFFF"/>
          <w:lang w:val="en-US" w:eastAsia="zh-CN" w:bidi="ar"/>
        </w:rPr>
        <w:t>任务”中无组织管理措施进行管控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9"/>
          <w:rFonts w:hint="eastAsia" w:ascii="微软雅黑" w:hAnsi="微软雅黑" w:eastAsia="微软雅黑" w:cs="微软雅黑"/>
          <w:color w:val="00000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rPr>
      </w:pPr>
      <w:r>
        <w:rPr>
          <w:rStyle w:val="9"/>
          <w:rFonts w:hint="eastAsia" w:ascii="微软雅黑" w:hAnsi="微软雅黑" w:eastAsia="微软雅黑" w:cs="微软雅黑"/>
          <w:color w:val="000000"/>
          <w:shd w:val="clear" w:fill="FFFFFF"/>
        </w:rPr>
        <w:t>附件</w:t>
      </w:r>
      <w:r>
        <w:rPr>
          <w:rStyle w:val="9"/>
          <w:rFonts w:hint="eastAsia" w:ascii="微软雅黑" w:hAnsi="微软雅黑" w:eastAsia="微软雅黑" w:cs="微软雅黑"/>
          <w:color w:val="000000"/>
          <w:shd w:val="clear" w:fill="FFFFFF"/>
          <w:lang w:val="en-US" w:eastAsia="zh-CN"/>
        </w:rPr>
        <w:t>3</w:t>
      </w:r>
      <w:r>
        <w:rPr>
          <w:rStyle w:val="9"/>
          <w:rFonts w:hint="eastAsia" w:ascii="微软雅黑" w:hAnsi="微软雅黑" w:eastAsia="微软雅黑" w:cs="微软雅黑"/>
          <w:color w:val="000000"/>
          <w:shd w:val="clear"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sz w:val="40"/>
          <w:szCs w:val="40"/>
        </w:rPr>
      </w:pPr>
      <w:r>
        <w:rPr>
          <w:rStyle w:val="9"/>
          <w:rFonts w:hint="eastAsia" w:ascii="方正小标宋简体" w:hAnsi="方正小标宋简体" w:eastAsia="方正小标宋简体" w:cs="方正小标宋简体"/>
          <w:color w:val="000000"/>
          <w:sz w:val="40"/>
          <w:szCs w:val="40"/>
          <w:shd w:val="clear" w:fill="FFFFFF"/>
        </w:rPr>
        <w:t>现有涉工业炉窑行业大气污染物排放标准</w:t>
      </w:r>
    </w:p>
    <w:tbl>
      <w:tblPr>
        <w:tblStyle w:val="6"/>
        <w:tblW w:w="9000" w:type="dxa"/>
        <w:jc w:val="center"/>
        <w:tblInd w:w="-239"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1219"/>
        <w:gridCol w:w="4857"/>
        <w:gridCol w:w="292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369" w:hRule="atLeast"/>
          <w:jc w:val="center"/>
        </w:trPr>
        <w:tc>
          <w:tcPr>
            <w:tcW w:w="12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行业</w:t>
            </w: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标准名称</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标准编号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钢铁</w:t>
            </w: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钢铁烧结、球团工业大气污染物排放标准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28662-2012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炼铁工业大气污染物排放标准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28663-2012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炼钢工业大气污染物排放标准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28664-2012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轧钢工业大气污染物排放标准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28665-2012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铁合金工业污染物排放标准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28666-2012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焦化</w:t>
            </w: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炼焦化学工业污染物排放标准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GB 16171-2012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有色</w:t>
            </w: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铝工业污染物排放标准及修改单</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GB 25465-2010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铅、锌工业污染物排放标准及修改单</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GB 25466-2010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铜、镍、钴工业污染物排放标准及修改单</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GB 25467-2010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镁、钛工业污染物排放标准及修改单</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GB 25468-2010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稀土工业污染物排放标准及修改单</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GB 26451-2011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钒工业污染物排放标准及修改单</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GB 26452-2011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锡、锑、汞工业污染物排放标准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GB 30770-2014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再生铜、铝、铅、锌工业污染物排放标准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161616"/>
                <w:kern w:val="0"/>
                <w:sz w:val="21"/>
                <w:szCs w:val="21"/>
                <w:lang w:val="en-US" w:eastAsia="zh-CN" w:bidi="ar"/>
              </w:rPr>
              <w:t>GB 31574-2015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建材</w:t>
            </w: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水泥工业大气污染物排放标准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4915-2013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平板玻璃工业大气污染物排放标准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26453-2011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电子玻璃工业大气污染物排放标准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29495-2013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陶瓷工业污染物排放标准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25464-2010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砖瓦工业大气污染物排放标准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29620-2013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石化</w:t>
            </w: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石油炼制工业污染物排放标准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161616"/>
                <w:kern w:val="0"/>
                <w:sz w:val="21"/>
                <w:szCs w:val="21"/>
                <w:lang w:val="en-US" w:eastAsia="zh-CN" w:bidi="ar"/>
              </w:rPr>
              <w:t>GB 31570-2015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石油化学工业污染物排放标准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161616"/>
                <w:kern w:val="0"/>
                <w:sz w:val="21"/>
                <w:szCs w:val="21"/>
                <w:lang w:val="en-US" w:eastAsia="zh-CN" w:bidi="ar"/>
              </w:rPr>
              <w:t>GB 31571-2015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合成树脂工业污染物排放标准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161616"/>
                <w:kern w:val="0"/>
                <w:sz w:val="21"/>
                <w:szCs w:val="21"/>
                <w:lang w:val="en-US" w:eastAsia="zh-CN" w:bidi="ar"/>
              </w:rPr>
              <w:t>GB 31572-2015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color w:val="000000"/>
                <w:sz w:val="21"/>
                <w:szCs w:val="21"/>
              </w:rPr>
            </w:pP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烧碱、聚氯乙烯工业污染物排放标准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15581-2016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化工</w:t>
            </w: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无机化学工业污染物排放标准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161616"/>
                <w:kern w:val="0"/>
                <w:sz w:val="21"/>
                <w:szCs w:val="21"/>
                <w:lang w:val="en-US" w:eastAsia="zh-CN" w:bidi="ar"/>
              </w:rPr>
              <w:t>GB 31573-2015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9" w:hRule="atLeast"/>
          <w:jc w:val="center"/>
        </w:trPr>
        <w:tc>
          <w:tcPr>
            <w:tcW w:w="12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其他</w:t>
            </w:r>
          </w:p>
        </w:tc>
        <w:tc>
          <w:tcPr>
            <w:tcW w:w="48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工业炉窑大气污染物排放标准</w:t>
            </w:r>
          </w:p>
        </w:tc>
        <w:tc>
          <w:tcPr>
            <w:tcW w:w="29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0" w:right="0"/>
              <w:jc w:val="center"/>
              <w:rPr>
                <w:b w:val="0"/>
              </w:rPr>
            </w:pPr>
            <w:r>
              <w:rPr>
                <w:rFonts w:hint="eastAsia" w:ascii="宋体" w:hAnsi="宋体" w:eastAsia="宋体" w:cs="宋体"/>
                <w:b w:val="0"/>
                <w:color w:val="000000"/>
                <w:kern w:val="0"/>
                <w:sz w:val="21"/>
                <w:szCs w:val="21"/>
                <w:lang w:val="en-US" w:eastAsia="zh-CN" w:bidi="ar"/>
              </w:rPr>
              <w:t>GB 9078-1996</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9"/>
          <w:rFonts w:hint="eastAsia" w:ascii="微软雅黑" w:hAnsi="微软雅黑" w:eastAsia="微软雅黑" w:cs="微软雅黑"/>
          <w:color w:val="000000"/>
          <w:shd w:val="clear" w:fill="FFFFFF"/>
        </w:rPr>
        <w:sectPr>
          <w:footerReference r:id="rId6" w:type="default"/>
          <w:pgSz w:w="11906" w:h="16838"/>
          <w:pgMar w:top="1440" w:right="1803" w:bottom="1440" w:left="1803" w:header="851" w:footer="992" w:gutter="0"/>
          <w:cols w:space="0" w:num="1"/>
          <w:rtlGutter w:val="0"/>
          <w:docGrid w:type="lines" w:linePitch="319"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rPr>
      </w:pPr>
      <w:r>
        <w:rPr>
          <w:rFonts w:hint="eastAsia" w:ascii="微软雅黑" w:hAnsi="微软雅黑" w:eastAsia="微软雅黑" w:cs="微软雅黑"/>
          <w:b/>
          <w:color w:val="000000"/>
          <w:shd w:val="clear" w:fill="FFFFFF"/>
        </w:rPr>
        <w:t>　附件</w:t>
      </w:r>
      <w:r>
        <w:rPr>
          <w:rFonts w:hint="eastAsia" w:ascii="微软雅黑" w:hAnsi="微软雅黑" w:eastAsia="微软雅黑" w:cs="微软雅黑"/>
          <w:b/>
          <w:color w:val="000000"/>
          <w:shd w:val="clear" w:fill="FFFFFF"/>
          <w:lang w:val="en-US" w:eastAsia="zh-CN"/>
        </w:rPr>
        <w:t>4</w:t>
      </w:r>
      <w:r>
        <w:rPr>
          <w:rFonts w:hint="eastAsia" w:ascii="微软雅黑" w:hAnsi="微软雅黑" w:eastAsia="微软雅黑" w:cs="微软雅黑"/>
          <w:b/>
          <w:color w:val="00000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color w:val="000000"/>
          <w:sz w:val="40"/>
          <w:szCs w:val="40"/>
          <w:shd w:val="clear" w:fill="FFFFFF"/>
        </w:rPr>
        <w:t>无组织排放控制措施界定</w:t>
      </w:r>
    </w:p>
    <w:tbl>
      <w:tblPr>
        <w:tblStyle w:val="6"/>
        <w:tblW w:w="9000" w:type="dxa"/>
        <w:jc w:val="center"/>
        <w:tblInd w:w="-239"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737"/>
        <w:gridCol w:w="1240"/>
        <w:gridCol w:w="4586"/>
        <w:gridCol w:w="243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rHeight w:val="567" w:hRule="atLeast"/>
          <w:jc w:val="center"/>
        </w:trPr>
        <w:tc>
          <w:tcPr>
            <w:tcW w:w="7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序号</w:t>
            </w:r>
          </w:p>
        </w:tc>
        <w:tc>
          <w:tcPr>
            <w:tcW w:w="12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作业类型</w:t>
            </w:r>
          </w:p>
        </w:tc>
        <w:tc>
          <w:tcPr>
            <w:tcW w:w="45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措施界定</w:t>
            </w:r>
          </w:p>
        </w:tc>
        <w:tc>
          <w:tcPr>
            <w:tcW w:w="2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color w:val="000000"/>
                <w:kern w:val="0"/>
                <w:sz w:val="21"/>
                <w:szCs w:val="21"/>
                <w:lang w:val="en-US" w:eastAsia="zh-CN" w:bidi="ar"/>
              </w:rPr>
              <w:t>示  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37" w:hRule="atLeast"/>
          <w:jc w:val="center"/>
        </w:trPr>
        <w:tc>
          <w:tcPr>
            <w:tcW w:w="7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1</w:t>
            </w:r>
          </w:p>
        </w:tc>
        <w:tc>
          <w:tcPr>
            <w:tcW w:w="12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密闭</w:t>
            </w:r>
          </w:p>
        </w:tc>
        <w:tc>
          <w:tcPr>
            <w:tcW w:w="45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物料不与环境空气接触，或通过密封材料、密封设备与环境空气隔离的状态或作业方式。</w:t>
            </w:r>
          </w:p>
        </w:tc>
        <w:tc>
          <w:tcPr>
            <w:tcW w:w="2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44" w:hRule="atLeast"/>
          <w:jc w:val="center"/>
        </w:trPr>
        <w:tc>
          <w:tcPr>
            <w:tcW w:w="7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2</w:t>
            </w:r>
          </w:p>
        </w:tc>
        <w:tc>
          <w:tcPr>
            <w:tcW w:w="12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密闭储存</w:t>
            </w:r>
          </w:p>
        </w:tc>
        <w:tc>
          <w:tcPr>
            <w:tcW w:w="45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将物料储存于与环境空气隔离的建（构）筑物、设施、器具内的作业方式。</w:t>
            </w:r>
          </w:p>
        </w:tc>
        <w:tc>
          <w:tcPr>
            <w:tcW w:w="2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料仓、储罐等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99" w:hRule="atLeast"/>
          <w:jc w:val="center"/>
        </w:trPr>
        <w:tc>
          <w:tcPr>
            <w:tcW w:w="7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3</w:t>
            </w:r>
          </w:p>
        </w:tc>
        <w:tc>
          <w:tcPr>
            <w:tcW w:w="12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密闭输送</w:t>
            </w:r>
          </w:p>
        </w:tc>
        <w:tc>
          <w:tcPr>
            <w:tcW w:w="45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物料输送过程与环境空气隔离的作业方式。</w:t>
            </w:r>
          </w:p>
        </w:tc>
        <w:tc>
          <w:tcPr>
            <w:tcW w:w="2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管道、管状带式输送机、气力输送设备、罐车等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317" w:hRule="atLeast"/>
          <w:jc w:val="center"/>
        </w:trPr>
        <w:tc>
          <w:tcPr>
            <w:tcW w:w="7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4</w:t>
            </w:r>
          </w:p>
        </w:tc>
        <w:tc>
          <w:tcPr>
            <w:tcW w:w="12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封闭</w:t>
            </w:r>
          </w:p>
        </w:tc>
        <w:tc>
          <w:tcPr>
            <w:tcW w:w="45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利用完整的围护结构将物料、作业场所等与周围空间阻隔的状态或作业方式，设置的门窗、盖板、检修口等配套设施在非必要时应关闭。</w:t>
            </w:r>
          </w:p>
        </w:tc>
        <w:tc>
          <w:tcPr>
            <w:tcW w:w="2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72" w:hRule="atLeast"/>
          <w:jc w:val="center"/>
        </w:trPr>
        <w:tc>
          <w:tcPr>
            <w:tcW w:w="7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5</w:t>
            </w:r>
          </w:p>
        </w:tc>
        <w:tc>
          <w:tcPr>
            <w:tcW w:w="12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封闭储存</w:t>
            </w:r>
          </w:p>
        </w:tc>
        <w:tc>
          <w:tcPr>
            <w:tcW w:w="45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将物料储存于具有完整围墙（围挡）及屋顶结构的建筑物内的作业方式，建筑物的门窗在非必要时应关闭。</w:t>
            </w:r>
          </w:p>
        </w:tc>
        <w:tc>
          <w:tcPr>
            <w:tcW w:w="2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储库、仓库等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084" w:hRule="atLeast"/>
          <w:jc w:val="center"/>
        </w:trPr>
        <w:tc>
          <w:tcPr>
            <w:tcW w:w="7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6</w:t>
            </w:r>
          </w:p>
        </w:tc>
        <w:tc>
          <w:tcPr>
            <w:tcW w:w="12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封闭输送</w:t>
            </w:r>
          </w:p>
        </w:tc>
        <w:tc>
          <w:tcPr>
            <w:tcW w:w="45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在完整的围护结构内进行物料输送作业，围护结构的门窗、盖板、检修口等配套设施在非必要时应关闭。</w:t>
            </w:r>
          </w:p>
        </w:tc>
        <w:tc>
          <w:tcPr>
            <w:tcW w:w="2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皮带通廊、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封闭车厢等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72" w:hRule="atLeast"/>
          <w:jc w:val="center"/>
        </w:trPr>
        <w:tc>
          <w:tcPr>
            <w:tcW w:w="7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7</w:t>
            </w:r>
          </w:p>
        </w:tc>
        <w:tc>
          <w:tcPr>
            <w:tcW w:w="12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封闭车间</w:t>
            </w:r>
          </w:p>
        </w:tc>
        <w:tc>
          <w:tcPr>
            <w:tcW w:w="45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rPr>
            </w:pPr>
            <w:r>
              <w:rPr>
                <w:rFonts w:hint="eastAsia" w:ascii="宋体" w:hAnsi="宋体" w:eastAsia="宋体" w:cs="宋体"/>
                <w:b w:val="0"/>
                <w:color w:val="000000"/>
                <w:kern w:val="0"/>
                <w:sz w:val="21"/>
                <w:szCs w:val="21"/>
                <w:lang w:val="en-US" w:eastAsia="zh-CN" w:bidi="ar"/>
              </w:rPr>
              <w:t>具有完整围墙（围挡）及屋顶结构的建筑物，建筑物的门窗在非必要时应关闭。</w:t>
            </w:r>
          </w:p>
        </w:tc>
        <w:tc>
          <w:tcPr>
            <w:tcW w:w="24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rPr>
            </w:pPr>
            <w:r>
              <w:rPr>
                <w:rFonts w:hint="eastAsia" w:ascii="宋体" w:hAnsi="宋体" w:eastAsia="宋体" w:cs="宋体"/>
                <w:b w:val="0"/>
                <w:color w:val="000000"/>
                <w:kern w:val="0"/>
                <w:sz w:val="21"/>
                <w:szCs w:val="21"/>
                <w:lang w:val="en-US" w:eastAsia="zh-CN" w:bidi="ar"/>
              </w:rPr>
              <w:t>—</w:t>
            </w:r>
          </w:p>
        </w:tc>
      </w:tr>
    </w:tbl>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rPr>
          <w:rFonts w:hint="default"/>
          <w:lang w:val="en-US" w:eastAsia="zh-CN"/>
        </w:rPr>
      </w:pPr>
    </w:p>
    <w:p>
      <w:pPr>
        <w:pStyle w:val="2"/>
        <w:spacing w:before="0" w:after="0" w:line="240" w:lineRule="auto"/>
        <w:ind w:firstLine="0" w:firstLineChars="0"/>
        <w:jc w:val="both"/>
        <w:rPr>
          <w:rFonts w:hint="default" w:ascii="方正小标宋_GBK" w:hAnsi="Times New Roman" w:eastAsia="方正小标宋_GBK"/>
          <w:b w:val="0"/>
          <w:sz w:val="32"/>
          <w:szCs w:val="32"/>
          <w:lang w:val="en-US" w:eastAsia="zh-CN"/>
        </w:rPr>
      </w:pPr>
      <w:r>
        <w:rPr>
          <w:rFonts w:hint="eastAsia" w:ascii="方正小标宋_GBK" w:hAnsi="Times New Roman" w:eastAsia="方正小标宋_GBK"/>
          <w:b w:val="0"/>
          <w:sz w:val="32"/>
          <w:szCs w:val="32"/>
          <w:lang w:eastAsia="zh-CN"/>
        </w:rPr>
        <w:t>附件</w:t>
      </w:r>
      <w:r>
        <w:rPr>
          <w:rFonts w:hint="eastAsia" w:ascii="方正小标宋_GBK" w:hAnsi="Times New Roman" w:eastAsia="方正小标宋_GBK"/>
          <w:b w:val="0"/>
          <w:sz w:val="32"/>
          <w:szCs w:val="32"/>
          <w:lang w:val="en-US" w:eastAsia="zh-CN"/>
        </w:rPr>
        <w:t>5</w:t>
      </w:r>
    </w:p>
    <w:p>
      <w:pPr>
        <w:adjustRightInd w:val="0"/>
        <w:snapToGrid w:val="0"/>
        <w:spacing w:line="408" w:lineRule="auto"/>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 w:val="0"/>
          <w:color w:val="000000"/>
          <w:sz w:val="40"/>
          <w:szCs w:val="40"/>
          <w:shd w:val="clear" w:fill="FFFFFF"/>
          <w:lang w:eastAsia="zh-CN"/>
        </w:rPr>
        <w:t>工业炉窑</w:t>
      </w:r>
      <w:r>
        <w:rPr>
          <w:rFonts w:hint="eastAsia" w:ascii="方正小标宋简体" w:hAnsi="方正小标宋简体" w:eastAsia="方正小标宋简体" w:cs="方正小标宋简体"/>
          <w:sz w:val="40"/>
          <w:szCs w:val="40"/>
          <w:lang w:val="en-US" w:eastAsia="zh-CN"/>
        </w:rPr>
        <w:t>大气污染综合治理</w:t>
      </w:r>
      <w:r>
        <w:rPr>
          <w:rFonts w:hint="eastAsia" w:ascii="方正小标宋简体" w:hAnsi="方正小标宋简体" w:eastAsia="方正小标宋简体" w:cs="方正小标宋简体"/>
          <w:b w:val="0"/>
          <w:color w:val="000000"/>
          <w:sz w:val="40"/>
          <w:szCs w:val="40"/>
          <w:shd w:val="clear" w:fill="FFFFFF"/>
          <w:lang w:eastAsia="zh-CN"/>
        </w:rPr>
        <w:t>全口径动态</w:t>
      </w:r>
      <w:r>
        <w:rPr>
          <w:rFonts w:hint="eastAsia" w:ascii="方正小标宋简体" w:hAnsi="方正小标宋简体" w:eastAsia="方正小标宋简体" w:cs="方正小标宋简体"/>
          <w:b w:val="0"/>
          <w:color w:val="000000"/>
          <w:sz w:val="40"/>
          <w:szCs w:val="40"/>
          <w:shd w:val="clear" w:fill="FFFFFF"/>
        </w:rPr>
        <w:t>管理</w:t>
      </w:r>
      <w:r>
        <w:rPr>
          <w:rFonts w:hint="eastAsia" w:ascii="方正小标宋简体" w:hAnsi="方正小标宋简体" w:eastAsia="方正小标宋简体" w:cs="方正小标宋简体"/>
          <w:b w:val="0"/>
          <w:color w:val="000000"/>
          <w:sz w:val="40"/>
          <w:szCs w:val="40"/>
          <w:shd w:val="clear" w:fill="FFFFFF"/>
          <w:lang w:eastAsia="zh-CN"/>
        </w:rPr>
        <w:t>清单</w:t>
      </w:r>
    </w:p>
    <w:tbl>
      <w:tblPr>
        <w:tblStyle w:val="6"/>
        <w:tblW w:w="1410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37"/>
        <w:gridCol w:w="434"/>
        <w:gridCol w:w="686"/>
        <w:gridCol w:w="584"/>
        <w:gridCol w:w="490"/>
        <w:gridCol w:w="521"/>
        <w:gridCol w:w="647"/>
        <w:gridCol w:w="585"/>
        <w:gridCol w:w="600"/>
        <w:gridCol w:w="568"/>
        <w:gridCol w:w="442"/>
        <w:gridCol w:w="679"/>
        <w:gridCol w:w="742"/>
        <w:gridCol w:w="406"/>
        <w:gridCol w:w="400"/>
        <w:gridCol w:w="650"/>
        <w:gridCol w:w="483"/>
        <w:gridCol w:w="733"/>
        <w:gridCol w:w="600"/>
        <w:gridCol w:w="534"/>
        <w:gridCol w:w="583"/>
        <w:gridCol w:w="583"/>
        <w:gridCol w:w="534"/>
        <w:gridCol w:w="600"/>
        <w:gridCol w:w="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20" w:hRule="atLeast"/>
          <w:jc w:val="center"/>
        </w:trPr>
        <w:tc>
          <w:tcPr>
            <w:tcW w:w="337"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kern w:val="0"/>
                <w:szCs w:val="21"/>
              </w:rPr>
              <w:t>序号</w:t>
            </w:r>
          </w:p>
        </w:tc>
        <w:tc>
          <w:tcPr>
            <w:tcW w:w="434"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kern w:val="0"/>
                <w:szCs w:val="21"/>
              </w:rPr>
              <w:t>市</w:t>
            </w:r>
          </w:p>
        </w:tc>
        <w:tc>
          <w:tcPr>
            <w:tcW w:w="686"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spacing w:val="-10"/>
                <w:kern w:val="0"/>
                <w:szCs w:val="21"/>
              </w:rPr>
              <w:t>县(市、区</w:t>
            </w:r>
            <w:r>
              <w:rPr>
                <w:rFonts w:ascii="黑体" w:hAnsi="黑体" w:eastAsia="黑体"/>
                <w:bCs/>
                <w:color w:val="000000"/>
                <w:kern w:val="0"/>
                <w:szCs w:val="21"/>
              </w:rPr>
              <w:t>)</w:t>
            </w:r>
          </w:p>
        </w:tc>
        <w:tc>
          <w:tcPr>
            <w:tcW w:w="584" w:type="dxa"/>
            <w:noWrap w:val="0"/>
            <w:tcMar>
              <w:left w:w="28" w:type="dxa"/>
              <w:right w:w="28" w:type="dxa"/>
            </w:tcMar>
            <w:vAlign w:val="center"/>
          </w:tcPr>
          <w:p>
            <w:pPr>
              <w:widowControl/>
              <w:jc w:val="center"/>
              <w:rPr>
                <w:rFonts w:hint="eastAsia" w:ascii="黑体" w:hAnsi="黑体" w:eastAsia="黑体"/>
                <w:bCs/>
                <w:color w:val="000000"/>
                <w:kern w:val="0"/>
                <w:szCs w:val="21"/>
              </w:rPr>
            </w:pPr>
            <w:r>
              <w:rPr>
                <w:rFonts w:ascii="黑体" w:hAnsi="黑体" w:eastAsia="黑体"/>
                <w:bCs/>
                <w:color w:val="000000"/>
                <w:kern w:val="0"/>
                <w:szCs w:val="21"/>
              </w:rPr>
              <w:t>乡</w:t>
            </w:r>
          </w:p>
          <w:p>
            <w:pPr>
              <w:widowControl/>
              <w:jc w:val="center"/>
              <w:rPr>
                <w:rFonts w:ascii="黑体" w:hAnsi="黑体" w:eastAsia="黑体"/>
                <w:bCs/>
                <w:color w:val="000000"/>
                <w:kern w:val="0"/>
                <w:szCs w:val="21"/>
              </w:rPr>
            </w:pPr>
            <w:r>
              <w:rPr>
                <w:rFonts w:ascii="黑体" w:hAnsi="黑体" w:eastAsia="黑体"/>
                <w:bCs/>
                <w:color w:val="000000"/>
                <w:kern w:val="0"/>
                <w:szCs w:val="21"/>
              </w:rPr>
              <w:t>（镇）</w:t>
            </w:r>
          </w:p>
        </w:tc>
        <w:tc>
          <w:tcPr>
            <w:tcW w:w="490"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kern w:val="0"/>
                <w:szCs w:val="21"/>
              </w:rPr>
              <w:t>企业名称</w:t>
            </w:r>
          </w:p>
        </w:tc>
        <w:tc>
          <w:tcPr>
            <w:tcW w:w="521" w:type="dxa"/>
            <w:noWrap w:val="0"/>
            <w:tcMar>
              <w:left w:w="57" w:type="dxa"/>
              <w:right w:w="57" w:type="dxa"/>
            </w:tcMar>
            <w:vAlign w:val="center"/>
          </w:tcPr>
          <w:p>
            <w:pPr>
              <w:widowControl/>
              <w:jc w:val="center"/>
              <w:rPr>
                <w:rFonts w:hint="eastAsia" w:ascii="黑体" w:hAnsi="黑体" w:eastAsia="黑体"/>
                <w:bCs/>
                <w:color w:val="000000"/>
                <w:kern w:val="0"/>
                <w:szCs w:val="21"/>
              </w:rPr>
            </w:pPr>
            <w:r>
              <w:rPr>
                <w:rFonts w:hint="eastAsia" w:ascii="黑体" w:hAnsi="黑体" w:eastAsia="黑体"/>
                <w:bCs/>
                <w:color w:val="000000"/>
                <w:kern w:val="0"/>
                <w:szCs w:val="21"/>
              </w:rPr>
              <w:t>统一社会信用代码</w:t>
            </w:r>
          </w:p>
        </w:tc>
        <w:tc>
          <w:tcPr>
            <w:tcW w:w="647"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kern w:val="0"/>
                <w:szCs w:val="21"/>
              </w:rPr>
              <w:t>单位地址</w:t>
            </w:r>
          </w:p>
        </w:tc>
        <w:tc>
          <w:tcPr>
            <w:tcW w:w="585"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kern w:val="0"/>
                <w:szCs w:val="21"/>
              </w:rPr>
              <w:t>行业类别</w:t>
            </w:r>
          </w:p>
        </w:tc>
        <w:tc>
          <w:tcPr>
            <w:tcW w:w="600"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kern w:val="0"/>
                <w:szCs w:val="21"/>
              </w:rPr>
              <w:t>产品类别</w:t>
            </w:r>
          </w:p>
        </w:tc>
        <w:tc>
          <w:tcPr>
            <w:tcW w:w="568"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kern w:val="0"/>
                <w:szCs w:val="21"/>
              </w:rPr>
              <w:t>炉窑类型</w:t>
            </w:r>
          </w:p>
        </w:tc>
        <w:tc>
          <w:tcPr>
            <w:tcW w:w="442" w:type="dxa"/>
            <w:noWrap w:val="0"/>
            <w:vAlign w:val="center"/>
          </w:tcPr>
          <w:p>
            <w:pPr>
              <w:widowControl/>
              <w:jc w:val="center"/>
              <w:rPr>
                <w:rFonts w:ascii="黑体" w:hAnsi="黑体" w:eastAsia="黑体"/>
                <w:bCs/>
                <w:color w:val="000000"/>
                <w:kern w:val="0"/>
                <w:szCs w:val="21"/>
              </w:rPr>
            </w:pPr>
            <w:r>
              <w:rPr>
                <w:rFonts w:ascii="黑体" w:hAnsi="黑体" w:eastAsia="黑体"/>
                <w:bCs/>
                <w:color w:val="000000"/>
                <w:spacing w:val="-10"/>
                <w:kern w:val="0"/>
                <w:szCs w:val="21"/>
              </w:rPr>
              <w:t>炉窑子类</w:t>
            </w:r>
          </w:p>
        </w:tc>
        <w:tc>
          <w:tcPr>
            <w:tcW w:w="679"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spacing w:val="-10"/>
                <w:kern w:val="0"/>
                <w:szCs w:val="21"/>
              </w:rPr>
              <w:t>该类炉窑个数</w:t>
            </w:r>
          </w:p>
        </w:tc>
        <w:tc>
          <w:tcPr>
            <w:tcW w:w="742" w:type="dxa"/>
            <w:noWrap w:val="0"/>
            <w:tcMar>
              <w:left w:w="57" w:type="dxa"/>
              <w:right w:w="57" w:type="dxa"/>
            </w:tcMar>
            <w:vAlign w:val="center"/>
          </w:tcPr>
          <w:p>
            <w:pPr>
              <w:widowControl/>
              <w:jc w:val="center"/>
              <w:rPr>
                <w:rFonts w:hint="eastAsia" w:ascii="黑体" w:hAnsi="黑体" w:eastAsia="黑体"/>
                <w:bCs/>
                <w:color w:val="000000"/>
                <w:spacing w:val="-10"/>
                <w:kern w:val="0"/>
                <w:szCs w:val="21"/>
              </w:rPr>
            </w:pPr>
            <w:r>
              <w:rPr>
                <w:rFonts w:ascii="黑体" w:hAnsi="黑体" w:eastAsia="黑体"/>
                <w:bCs/>
                <w:color w:val="000000"/>
                <w:spacing w:val="-10"/>
                <w:kern w:val="0"/>
                <w:szCs w:val="21"/>
              </w:rPr>
              <w:t>该类炉窑总</w:t>
            </w:r>
          </w:p>
          <w:p>
            <w:pPr>
              <w:widowControl/>
              <w:jc w:val="center"/>
              <w:rPr>
                <w:rFonts w:ascii="黑体" w:hAnsi="黑体" w:eastAsia="黑体"/>
                <w:bCs/>
                <w:color w:val="000000"/>
                <w:kern w:val="0"/>
                <w:szCs w:val="21"/>
              </w:rPr>
            </w:pPr>
            <w:r>
              <w:rPr>
                <w:rFonts w:ascii="黑体" w:hAnsi="黑体" w:eastAsia="黑体"/>
                <w:bCs/>
                <w:color w:val="000000"/>
                <w:spacing w:val="-10"/>
                <w:kern w:val="0"/>
                <w:szCs w:val="21"/>
              </w:rPr>
              <w:t>规模</w:t>
            </w:r>
          </w:p>
        </w:tc>
        <w:tc>
          <w:tcPr>
            <w:tcW w:w="406"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spacing w:val="-10"/>
                <w:kern w:val="0"/>
                <w:szCs w:val="21"/>
              </w:rPr>
              <w:t>规模单位</w:t>
            </w:r>
          </w:p>
        </w:tc>
        <w:tc>
          <w:tcPr>
            <w:tcW w:w="400"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spacing w:val="-10"/>
                <w:kern w:val="0"/>
                <w:szCs w:val="21"/>
              </w:rPr>
              <w:t>燃料类型</w:t>
            </w:r>
          </w:p>
        </w:tc>
        <w:tc>
          <w:tcPr>
            <w:tcW w:w="650" w:type="dxa"/>
            <w:noWrap w:val="0"/>
            <w:tcMar>
              <w:left w:w="57" w:type="dxa"/>
              <w:right w:w="57" w:type="dxa"/>
            </w:tcMar>
            <w:vAlign w:val="center"/>
          </w:tcPr>
          <w:p>
            <w:pPr>
              <w:widowControl/>
              <w:jc w:val="center"/>
              <w:rPr>
                <w:rFonts w:hint="eastAsia" w:ascii="黑体" w:hAnsi="黑体" w:eastAsia="黑体"/>
                <w:bCs/>
                <w:color w:val="000000"/>
                <w:spacing w:val="-10"/>
                <w:kern w:val="0"/>
                <w:szCs w:val="21"/>
              </w:rPr>
            </w:pPr>
            <w:r>
              <w:rPr>
                <w:rFonts w:ascii="黑体" w:hAnsi="黑体" w:eastAsia="黑体"/>
                <w:bCs/>
                <w:color w:val="000000"/>
                <w:spacing w:val="-10"/>
                <w:kern w:val="0"/>
                <w:szCs w:val="21"/>
              </w:rPr>
              <w:t>主要燃料</w:t>
            </w:r>
            <w:r>
              <w:rPr>
                <w:rFonts w:hint="eastAsia" w:ascii="黑体" w:hAnsi="黑体" w:eastAsia="黑体"/>
                <w:bCs/>
                <w:color w:val="000000"/>
                <w:spacing w:val="-10"/>
                <w:kern w:val="0"/>
                <w:szCs w:val="21"/>
              </w:rPr>
              <w:t>年</w:t>
            </w:r>
            <w:r>
              <w:rPr>
                <w:rFonts w:ascii="黑体" w:hAnsi="黑体" w:eastAsia="黑体"/>
                <w:bCs/>
                <w:color w:val="000000"/>
                <w:spacing w:val="-10"/>
                <w:kern w:val="0"/>
                <w:szCs w:val="21"/>
              </w:rPr>
              <w:t>消</w:t>
            </w:r>
          </w:p>
          <w:p>
            <w:pPr>
              <w:widowControl/>
              <w:jc w:val="center"/>
              <w:rPr>
                <w:rFonts w:ascii="黑体" w:hAnsi="黑体" w:eastAsia="黑体"/>
                <w:bCs/>
                <w:color w:val="000000"/>
                <w:kern w:val="0"/>
                <w:szCs w:val="21"/>
              </w:rPr>
            </w:pPr>
            <w:r>
              <w:rPr>
                <w:rFonts w:ascii="黑体" w:hAnsi="黑体" w:eastAsia="黑体"/>
                <w:bCs/>
                <w:color w:val="000000"/>
                <w:spacing w:val="-10"/>
                <w:kern w:val="0"/>
                <w:szCs w:val="21"/>
              </w:rPr>
              <w:t>耗量</w:t>
            </w:r>
          </w:p>
        </w:tc>
        <w:tc>
          <w:tcPr>
            <w:tcW w:w="483"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kern w:val="0"/>
                <w:szCs w:val="21"/>
              </w:rPr>
              <w:t>燃料单位</w:t>
            </w:r>
          </w:p>
        </w:tc>
        <w:tc>
          <w:tcPr>
            <w:tcW w:w="733"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kern w:val="0"/>
                <w:szCs w:val="21"/>
              </w:rPr>
              <w:t>是否安装自动监控设施</w:t>
            </w:r>
          </w:p>
        </w:tc>
        <w:tc>
          <w:tcPr>
            <w:tcW w:w="600"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spacing w:val="-10"/>
                <w:kern w:val="0"/>
                <w:szCs w:val="21"/>
              </w:rPr>
              <w:t>治理方式</w:t>
            </w:r>
          </w:p>
        </w:tc>
        <w:tc>
          <w:tcPr>
            <w:tcW w:w="534"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spacing w:val="-10"/>
                <w:kern w:val="0"/>
                <w:szCs w:val="21"/>
              </w:rPr>
              <w:t>替代的清洁</w:t>
            </w:r>
            <w:r>
              <w:rPr>
                <w:rFonts w:hint="eastAsia" w:ascii="黑体" w:hAnsi="黑体" w:eastAsia="黑体"/>
                <w:bCs/>
                <w:color w:val="000000"/>
                <w:spacing w:val="-10"/>
                <w:kern w:val="0"/>
                <w:szCs w:val="21"/>
              </w:rPr>
              <w:t>低碳</w:t>
            </w:r>
            <w:r>
              <w:rPr>
                <w:rFonts w:ascii="黑体" w:hAnsi="黑体" w:eastAsia="黑体"/>
                <w:bCs/>
                <w:color w:val="000000"/>
                <w:spacing w:val="-10"/>
                <w:kern w:val="0"/>
                <w:szCs w:val="21"/>
              </w:rPr>
              <w:t>能源类型</w:t>
            </w:r>
          </w:p>
        </w:tc>
        <w:tc>
          <w:tcPr>
            <w:tcW w:w="583" w:type="dxa"/>
            <w:noWrap w:val="0"/>
            <w:tcMar>
              <w:left w:w="57" w:type="dxa"/>
              <w:right w:w="57" w:type="dxa"/>
            </w:tcMar>
            <w:vAlign w:val="center"/>
          </w:tcPr>
          <w:p>
            <w:pPr>
              <w:widowControl/>
              <w:jc w:val="center"/>
              <w:rPr>
                <w:rFonts w:ascii="黑体" w:hAnsi="黑体" w:eastAsia="黑体"/>
                <w:bCs/>
                <w:color w:val="000000"/>
                <w:kern w:val="0"/>
                <w:szCs w:val="21"/>
              </w:rPr>
            </w:pPr>
            <w:r>
              <w:rPr>
                <w:rFonts w:ascii="黑体" w:hAnsi="黑体" w:eastAsia="黑体"/>
                <w:bCs/>
                <w:color w:val="000000"/>
                <w:kern w:val="0"/>
                <w:szCs w:val="21"/>
              </w:rPr>
              <w:t>深度治理措施</w:t>
            </w:r>
          </w:p>
        </w:tc>
        <w:tc>
          <w:tcPr>
            <w:tcW w:w="583" w:type="dxa"/>
            <w:noWrap w:val="0"/>
            <w:tcMar>
              <w:left w:w="57" w:type="dxa"/>
              <w:right w:w="57" w:type="dxa"/>
            </w:tcMar>
            <w:vAlign w:val="center"/>
          </w:tcPr>
          <w:p>
            <w:pPr>
              <w:widowControl/>
              <w:jc w:val="center"/>
              <w:rPr>
                <w:rFonts w:hint="eastAsia" w:ascii="黑体" w:hAnsi="黑体" w:eastAsia="黑体"/>
                <w:bCs/>
                <w:color w:val="000000"/>
                <w:kern w:val="0"/>
                <w:szCs w:val="21"/>
                <w:lang w:eastAsia="zh-CN"/>
              </w:rPr>
            </w:pPr>
            <w:r>
              <w:rPr>
                <w:rFonts w:hint="eastAsia" w:ascii="黑体" w:hAnsi="黑体" w:eastAsia="黑体"/>
                <w:bCs/>
                <w:color w:val="000000"/>
                <w:kern w:val="0"/>
                <w:szCs w:val="21"/>
                <w:lang w:eastAsia="zh-CN"/>
              </w:rPr>
              <w:t>生产状况（正产生产</w:t>
            </w:r>
            <w:r>
              <w:rPr>
                <w:rFonts w:hint="eastAsia" w:ascii="黑体" w:hAnsi="黑体" w:eastAsia="黑体"/>
                <w:bCs/>
                <w:color w:val="000000"/>
                <w:kern w:val="0"/>
                <w:szCs w:val="21"/>
                <w:lang w:val="en-US" w:eastAsia="zh-CN"/>
              </w:rPr>
              <w:t>/</w:t>
            </w:r>
            <w:r>
              <w:rPr>
                <w:rFonts w:hint="eastAsia" w:ascii="黑体" w:hAnsi="黑体" w:eastAsia="黑体"/>
                <w:bCs/>
                <w:color w:val="000000"/>
                <w:kern w:val="0"/>
                <w:szCs w:val="21"/>
                <w:lang w:eastAsia="zh-CN"/>
              </w:rPr>
              <w:t>长期停产）</w:t>
            </w:r>
          </w:p>
        </w:tc>
        <w:tc>
          <w:tcPr>
            <w:tcW w:w="534" w:type="dxa"/>
            <w:noWrap w:val="0"/>
            <w:tcMar>
              <w:left w:w="57" w:type="dxa"/>
              <w:right w:w="57" w:type="dxa"/>
            </w:tcMar>
            <w:vAlign w:val="center"/>
          </w:tcPr>
          <w:p>
            <w:pPr>
              <w:widowControl/>
              <w:jc w:val="center"/>
              <w:rPr>
                <w:rFonts w:hint="eastAsia" w:ascii="黑体" w:hAnsi="黑体" w:eastAsia="黑体"/>
                <w:bCs/>
                <w:color w:val="000000"/>
                <w:kern w:val="0"/>
                <w:szCs w:val="21"/>
                <w:lang w:eastAsia="zh-CN"/>
              </w:rPr>
            </w:pPr>
            <w:r>
              <w:rPr>
                <w:rFonts w:hint="eastAsia" w:ascii="黑体" w:hAnsi="黑体" w:eastAsia="黑体"/>
                <w:bCs/>
                <w:color w:val="000000"/>
                <w:kern w:val="0"/>
                <w:szCs w:val="21"/>
                <w:lang w:eastAsia="zh-CN"/>
              </w:rPr>
              <w:t>是否完成（是</w:t>
            </w:r>
            <w:r>
              <w:rPr>
                <w:rFonts w:hint="eastAsia" w:ascii="黑体" w:hAnsi="黑体" w:eastAsia="黑体"/>
                <w:bCs/>
                <w:color w:val="000000"/>
                <w:kern w:val="0"/>
                <w:szCs w:val="21"/>
                <w:lang w:val="en-US" w:eastAsia="zh-CN"/>
              </w:rPr>
              <w:t>/否</w:t>
            </w:r>
            <w:r>
              <w:rPr>
                <w:rFonts w:hint="eastAsia" w:ascii="黑体" w:hAnsi="黑体" w:eastAsia="黑体"/>
                <w:bCs/>
                <w:color w:val="000000"/>
                <w:kern w:val="0"/>
                <w:szCs w:val="21"/>
                <w:lang w:eastAsia="zh-CN"/>
              </w:rPr>
              <w:t>）</w:t>
            </w:r>
          </w:p>
        </w:tc>
        <w:tc>
          <w:tcPr>
            <w:tcW w:w="600" w:type="dxa"/>
            <w:noWrap w:val="0"/>
            <w:tcMar>
              <w:left w:w="57" w:type="dxa"/>
              <w:right w:w="57" w:type="dxa"/>
            </w:tcMar>
            <w:vAlign w:val="center"/>
          </w:tcPr>
          <w:p>
            <w:pPr>
              <w:widowControl/>
              <w:jc w:val="center"/>
              <w:rPr>
                <w:rFonts w:hint="eastAsia" w:ascii="黑体" w:hAnsi="黑体" w:eastAsia="黑体"/>
                <w:bCs/>
                <w:color w:val="000000"/>
                <w:kern w:val="0"/>
                <w:szCs w:val="21"/>
                <w:lang w:eastAsia="zh-CN"/>
              </w:rPr>
            </w:pPr>
            <w:r>
              <w:rPr>
                <w:rFonts w:ascii="黑体" w:hAnsi="黑体" w:eastAsia="黑体"/>
                <w:bCs/>
                <w:color w:val="000000"/>
                <w:kern w:val="0"/>
                <w:szCs w:val="21"/>
              </w:rPr>
              <w:t>计划完成时间</w:t>
            </w:r>
            <w:r>
              <w:rPr>
                <w:rFonts w:hint="eastAsia" w:ascii="黑体" w:hAnsi="黑体" w:eastAsia="黑体"/>
                <w:bCs/>
                <w:color w:val="000000"/>
                <w:kern w:val="0"/>
                <w:szCs w:val="21"/>
                <w:lang w:eastAsia="zh-CN"/>
              </w:rPr>
              <w:t>（未完成填报）</w:t>
            </w:r>
          </w:p>
        </w:tc>
        <w:tc>
          <w:tcPr>
            <w:tcW w:w="686" w:type="dxa"/>
            <w:noWrap w:val="0"/>
            <w:tcMar>
              <w:left w:w="57" w:type="dxa"/>
              <w:right w:w="57" w:type="dxa"/>
            </w:tcMar>
            <w:vAlign w:val="center"/>
          </w:tcPr>
          <w:p>
            <w:pPr>
              <w:widowControl/>
              <w:jc w:val="center"/>
              <w:rPr>
                <w:rFonts w:hint="eastAsia" w:ascii="黑体" w:hAnsi="黑体" w:eastAsia="黑体"/>
                <w:bCs/>
                <w:color w:val="000000"/>
                <w:kern w:val="0"/>
                <w:szCs w:val="21"/>
                <w:lang w:eastAsia="zh-CN"/>
              </w:rPr>
            </w:pPr>
            <w:r>
              <w:rPr>
                <w:rFonts w:hint="eastAsia" w:ascii="黑体" w:hAnsi="黑体" w:eastAsia="黑体"/>
                <w:bCs/>
                <w:color w:val="000000"/>
                <w:kern w:val="0"/>
                <w:szCs w:val="21"/>
                <w:lang w:eastAsia="zh-CN"/>
              </w:rPr>
              <w:t>完成时间（完成填报）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37" w:type="dxa"/>
            <w:noWrap w:val="0"/>
            <w:tcMar>
              <w:left w:w="57" w:type="dxa"/>
              <w:right w:w="57" w:type="dxa"/>
            </w:tcMar>
            <w:vAlign w:val="center"/>
          </w:tcPr>
          <w:p>
            <w:pPr>
              <w:adjustRightInd w:val="0"/>
              <w:snapToGrid w:val="0"/>
              <w:jc w:val="center"/>
              <w:rPr>
                <w:rFonts w:ascii="宋体" w:hAnsi="宋体" w:eastAsia="宋体"/>
                <w:szCs w:val="21"/>
              </w:rPr>
            </w:pPr>
            <w:r>
              <w:rPr>
                <w:rFonts w:ascii="宋体" w:hAnsi="宋体" w:eastAsia="宋体"/>
                <w:szCs w:val="21"/>
              </w:rPr>
              <w:t>1</w:t>
            </w:r>
          </w:p>
        </w:tc>
        <w:tc>
          <w:tcPr>
            <w:tcW w:w="434" w:type="dxa"/>
            <w:noWrap w:val="0"/>
            <w:tcMar>
              <w:left w:w="57" w:type="dxa"/>
              <w:right w:w="57" w:type="dxa"/>
            </w:tcMar>
            <w:vAlign w:val="center"/>
          </w:tcPr>
          <w:p>
            <w:pPr>
              <w:adjustRightInd w:val="0"/>
              <w:snapToGrid w:val="0"/>
              <w:jc w:val="center"/>
              <w:rPr>
                <w:rFonts w:ascii="宋体" w:hAnsi="宋体" w:eastAsia="宋体"/>
                <w:szCs w:val="21"/>
              </w:rPr>
            </w:pPr>
            <w:r>
              <w:rPr>
                <w:rFonts w:ascii="宋体" w:hAnsi="宋体" w:eastAsia="宋体"/>
                <w:szCs w:val="21"/>
              </w:rPr>
              <w:t>　</w:t>
            </w:r>
          </w:p>
        </w:tc>
        <w:tc>
          <w:tcPr>
            <w:tcW w:w="686" w:type="dxa"/>
            <w:noWrap w:val="0"/>
            <w:tcMar>
              <w:left w:w="57" w:type="dxa"/>
              <w:right w:w="57" w:type="dxa"/>
            </w:tcMar>
            <w:vAlign w:val="center"/>
          </w:tcPr>
          <w:p>
            <w:pPr>
              <w:adjustRightInd w:val="0"/>
              <w:snapToGrid w:val="0"/>
              <w:jc w:val="center"/>
              <w:rPr>
                <w:rFonts w:ascii="宋体" w:hAnsi="宋体" w:eastAsia="宋体"/>
                <w:szCs w:val="21"/>
              </w:rPr>
            </w:pPr>
            <w:r>
              <w:rPr>
                <w:rFonts w:ascii="宋体" w:hAnsi="宋体" w:eastAsia="宋体"/>
                <w:szCs w:val="21"/>
              </w:rPr>
              <w:t>　</w:t>
            </w:r>
          </w:p>
        </w:tc>
        <w:tc>
          <w:tcPr>
            <w:tcW w:w="584" w:type="dxa"/>
            <w:noWrap w:val="0"/>
            <w:tcMar>
              <w:left w:w="57" w:type="dxa"/>
              <w:right w:w="57" w:type="dxa"/>
            </w:tcMar>
            <w:vAlign w:val="center"/>
          </w:tcPr>
          <w:p>
            <w:pPr>
              <w:adjustRightInd w:val="0"/>
              <w:snapToGrid w:val="0"/>
              <w:jc w:val="center"/>
              <w:rPr>
                <w:rFonts w:ascii="宋体" w:hAnsi="宋体" w:eastAsia="宋体"/>
                <w:szCs w:val="21"/>
              </w:rPr>
            </w:pPr>
            <w:r>
              <w:rPr>
                <w:rFonts w:ascii="宋体" w:hAnsi="宋体" w:eastAsia="宋体"/>
                <w:szCs w:val="21"/>
              </w:rPr>
              <w:t>　</w:t>
            </w:r>
          </w:p>
        </w:tc>
        <w:tc>
          <w:tcPr>
            <w:tcW w:w="490" w:type="dxa"/>
            <w:noWrap w:val="0"/>
            <w:tcMar>
              <w:left w:w="57" w:type="dxa"/>
              <w:right w:w="57" w:type="dxa"/>
            </w:tcMar>
            <w:vAlign w:val="center"/>
          </w:tcPr>
          <w:p>
            <w:pPr>
              <w:adjustRightInd w:val="0"/>
              <w:snapToGrid w:val="0"/>
              <w:jc w:val="center"/>
              <w:rPr>
                <w:rFonts w:ascii="宋体" w:hAnsi="宋体" w:eastAsia="宋体"/>
                <w:szCs w:val="21"/>
              </w:rPr>
            </w:pPr>
            <w:r>
              <w:rPr>
                <w:rFonts w:ascii="宋体" w:hAnsi="宋体" w:eastAsia="宋体"/>
                <w:szCs w:val="21"/>
              </w:rPr>
              <w:t>　</w:t>
            </w:r>
          </w:p>
        </w:tc>
        <w:tc>
          <w:tcPr>
            <w:tcW w:w="521" w:type="dxa"/>
            <w:noWrap w:val="0"/>
            <w:tcMar>
              <w:left w:w="57" w:type="dxa"/>
              <w:right w:w="57" w:type="dxa"/>
            </w:tcMar>
            <w:vAlign w:val="center"/>
          </w:tcPr>
          <w:p>
            <w:pPr>
              <w:adjustRightInd w:val="0"/>
              <w:snapToGrid w:val="0"/>
              <w:jc w:val="center"/>
              <w:rPr>
                <w:rFonts w:ascii="宋体" w:hAnsi="宋体" w:eastAsia="宋体"/>
                <w:szCs w:val="21"/>
              </w:rPr>
            </w:pPr>
            <w:r>
              <w:rPr>
                <w:rFonts w:ascii="宋体" w:hAnsi="宋体" w:eastAsia="宋体"/>
                <w:szCs w:val="21"/>
              </w:rPr>
              <w:t>　</w:t>
            </w:r>
          </w:p>
        </w:tc>
        <w:tc>
          <w:tcPr>
            <w:tcW w:w="647" w:type="dxa"/>
            <w:noWrap w:val="0"/>
            <w:tcMar>
              <w:left w:w="57" w:type="dxa"/>
              <w:right w:w="57" w:type="dxa"/>
            </w:tcMar>
            <w:vAlign w:val="center"/>
          </w:tcPr>
          <w:p>
            <w:pPr>
              <w:adjustRightInd w:val="0"/>
              <w:snapToGrid w:val="0"/>
              <w:jc w:val="center"/>
              <w:rPr>
                <w:rFonts w:ascii="宋体" w:hAnsi="宋体" w:eastAsia="宋体"/>
                <w:szCs w:val="21"/>
              </w:rPr>
            </w:pPr>
            <w:r>
              <w:rPr>
                <w:rFonts w:ascii="宋体" w:hAnsi="宋体" w:eastAsia="宋体"/>
                <w:szCs w:val="21"/>
              </w:rPr>
              <w:t>　</w:t>
            </w:r>
          </w:p>
        </w:tc>
        <w:tc>
          <w:tcPr>
            <w:tcW w:w="585" w:type="dxa"/>
            <w:noWrap w:val="0"/>
            <w:tcMar>
              <w:left w:w="57" w:type="dxa"/>
              <w:right w:w="57" w:type="dxa"/>
            </w:tcMar>
            <w:vAlign w:val="center"/>
          </w:tcPr>
          <w:p>
            <w:pPr>
              <w:adjustRightInd w:val="0"/>
              <w:snapToGrid w:val="0"/>
              <w:jc w:val="center"/>
              <w:rPr>
                <w:rFonts w:ascii="宋体" w:hAnsi="宋体" w:eastAsia="宋体"/>
                <w:szCs w:val="21"/>
              </w:rPr>
            </w:pPr>
            <w:r>
              <w:rPr>
                <w:rFonts w:ascii="宋体" w:hAnsi="宋体" w:eastAsia="宋体"/>
                <w:szCs w:val="21"/>
              </w:rPr>
              <w:t>　</w:t>
            </w:r>
          </w:p>
        </w:tc>
        <w:tc>
          <w:tcPr>
            <w:tcW w:w="600" w:type="dxa"/>
            <w:noWrap w:val="0"/>
            <w:tcMar>
              <w:left w:w="57" w:type="dxa"/>
              <w:right w:w="57" w:type="dxa"/>
            </w:tcMar>
            <w:vAlign w:val="center"/>
          </w:tcPr>
          <w:p>
            <w:pPr>
              <w:adjustRightInd w:val="0"/>
              <w:snapToGrid w:val="0"/>
              <w:jc w:val="center"/>
              <w:rPr>
                <w:rFonts w:ascii="宋体" w:hAnsi="宋体" w:eastAsia="宋体"/>
                <w:szCs w:val="21"/>
              </w:rPr>
            </w:pPr>
            <w:r>
              <w:rPr>
                <w:rFonts w:ascii="宋体" w:hAnsi="宋体" w:eastAsia="宋体"/>
                <w:szCs w:val="21"/>
              </w:rPr>
              <w:t>　</w:t>
            </w:r>
          </w:p>
        </w:tc>
        <w:tc>
          <w:tcPr>
            <w:tcW w:w="568"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442" w:type="dxa"/>
            <w:noWrap w:val="0"/>
            <w:vAlign w:val="top"/>
          </w:tcPr>
          <w:p>
            <w:pPr>
              <w:adjustRightInd w:val="0"/>
              <w:snapToGrid w:val="0"/>
              <w:jc w:val="left"/>
              <w:rPr>
                <w:rFonts w:ascii="宋体" w:hAnsi="宋体" w:eastAsia="宋体"/>
                <w:szCs w:val="21"/>
              </w:rPr>
            </w:pPr>
          </w:p>
        </w:tc>
        <w:tc>
          <w:tcPr>
            <w:tcW w:w="679"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742"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406"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400"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650"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483"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733"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600"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534"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583"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583" w:type="dxa"/>
            <w:noWrap w:val="0"/>
            <w:tcMar>
              <w:left w:w="57" w:type="dxa"/>
              <w:right w:w="57" w:type="dxa"/>
            </w:tcMar>
            <w:vAlign w:val="center"/>
          </w:tcPr>
          <w:p>
            <w:pPr>
              <w:adjustRightInd w:val="0"/>
              <w:snapToGrid w:val="0"/>
              <w:jc w:val="left"/>
              <w:rPr>
                <w:rFonts w:ascii="宋体" w:hAnsi="宋体" w:eastAsia="宋体"/>
                <w:szCs w:val="21"/>
              </w:rPr>
            </w:pPr>
          </w:p>
        </w:tc>
        <w:tc>
          <w:tcPr>
            <w:tcW w:w="534" w:type="dxa"/>
            <w:noWrap w:val="0"/>
            <w:tcMar>
              <w:left w:w="57" w:type="dxa"/>
              <w:right w:w="57" w:type="dxa"/>
            </w:tcMar>
            <w:vAlign w:val="center"/>
          </w:tcPr>
          <w:p>
            <w:pPr>
              <w:adjustRightInd w:val="0"/>
              <w:snapToGrid w:val="0"/>
              <w:jc w:val="left"/>
              <w:rPr>
                <w:rFonts w:ascii="宋体" w:hAnsi="宋体" w:eastAsia="宋体"/>
                <w:szCs w:val="21"/>
              </w:rPr>
            </w:pPr>
            <w:r>
              <w:rPr>
                <w:rFonts w:ascii="宋体" w:hAnsi="宋体" w:eastAsia="宋体"/>
                <w:szCs w:val="21"/>
              </w:rPr>
              <w:t>　</w:t>
            </w:r>
          </w:p>
        </w:tc>
        <w:tc>
          <w:tcPr>
            <w:tcW w:w="600" w:type="dxa"/>
            <w:noWrap w:val="0"/>
            <w:tcMar>
              <w:left w:w="57" w:type="dxa"/>
              <w:right w:w="57" w:type="dxa"/>
            </w:tcMar>
            <w:vAlign w:val="center"/>
          </w:tcPr>
          <w:p>
            <w:pPr>
              <w:adjustRightInd w:val="0"/>
              <w:snapToGrid w:val="0"/>
              <w:jc w:val="left"/>
              <w:rPr>
                <w:rFonts w:ascii="宋体" w:hAnsi="宋体" w:eastAsia="宋体"/>
                <w:szCs w:val="21"/>
              </w:rPr>
            </w:pPr>
          </w:p>
        </w:tc>
        <w:tc>
          <w:tcPr>
            <w:tcW w:w="686" w:type="dxa"/>
            <w:noWrap w:val="0"/>
            <w:tcMar>
              <w:left w:w="57" w:type="dxa"/>
              <w:right w:w="57" w:type="dxa"/>
            </w:tcMar>
            <w:vAlign w:val="center"/>
          </w:tcPr>
          <w:p>
            <w:pPr>
              <w:adjustRightInd w:val="0"/>
              <w:snapToGrid w:val="0"/>
              <w:jc w:val="left"/>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37" w:type="dxa"/>
            <w:noWrap w:val="0"/>
            <w:tcMar>
              <w:left w:w="57" w:type="dxa"/>
              <w:right w:w="57" w:type="dxa"/>
            </w:tcMar>
            <w:vAlign w:val="center"/>
          </w:tcPr>
          <w:p>
            <w:pPr>
              <w:widowControl/>
              <w:jc w:val="center"/>
              <w:rPr>
                <w:rFonts w:ascii="宋体" w:hAnsi="宋体" w:eastAsia="宋体"/>
                <w:color w:val="000000"/>
                <w:kern w:val="0"/>
                <w:szCs w:val="21"/>
              </w:rPr>
            </w:pPr>
            <w:r>
              <w:rPr>
                <w:rFonts w:ascii="宋体" w:hAnsi="宋体" w:eastAsia="宋体"/>
                <w:color w:val="000000"/>
                <w:kern w:val="0"/>
                <w:szCs w:val="21"/>
              </w:rPr>
              <w:t>…</w:t>
            </w:r>
          </w:p>
        </w:tc>
        <w:tc>
          <w:tcPr>
            <w:tcW w:w="434" w:type="dxa"/>
            <w:noWrap w:val="0"/>
            <w:tcMar>
              <w:left w:w="57" w:type="dxa"/>
              <w:right w:w="57" w:type="dxa"/>
            </w:tcMar>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686" w:type="dxa"/>
            <w:noWrap w:val="0"/>
            <w:tcMar>
              <w:left w:w="57" w:type="dxa"/>
              <w:right w:w="57" w:type="dxa"/>
            </w:tcMar>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584" w:type="dxa"/>
            <w:noWrap w:val="0"/>
            <w:tcMar>
              <w:left w:w="57" w:type="dxa"/>
              <w:right w:w="57" w:type="dxa"/>
            </w:tcMar>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490" w:type="dxa"/>
            <w:noWrap w:val="0"/>
            <w:tcMar>
              <w:left w:w="57" w:type="dxa"/>
              <w:right w:w="57" w:type="dxa"/>
            </w:tcMar>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521" w:type="dxa"/>
            <w:noWrap w:val="0"/>
            <w:tcMar>
              <w:left w:w="57" w:type="dxa"/>
              <w:right w:w="57" w:type="dxa"/>
            </w:tcMar>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647" w:type="dxa"/>
            <w:noWrap w:val="0"/>
            <w:tcMar>
              <w:left w:w="57" w:type="dxa"/>
              <w:right w:w="57" w:type="dxa"/>
            </w:tcMar>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585" w:type="dxa"/>
            <w:noWrap w:val="0"/>
            <w:tcMar>
              <w:left w:w="57" w:type="dxa"/>
              <w:right w:w="57" w:type="dxa"/>
            </w:tcMar>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600" w:type="dxa"/>
            <w:noWrap w:val="0"/>
            <w:tcMar>
              <w:left w:w="57" w:type="dxa"/>
              <w:right w:w="57" w:type="dxa"/>
            </w:tcMar>
            <w:vAlign w:val="center"/>
          </w:tcPr>
          <w:p>
            <w:pPr>
              <w:widowControl/>
              <w:jc w:val="center"/>
              <w:rPr>
                <w:rFonts w:ascii="宋体" w:hAnsi="宋体" w:eastAsia="宋体"/>
                <w:color w:val="000000"/>
                <w:kern w:val="0"/>
                <w:szCs w:val="21"/>
              </w:rPr>
            </w:pPr>
            <w:r>
              <w:rPr>
                <w:rFonts w:ascii="宋体" w:hAnsi="宋体" w:eastAsia="宋体"/>
                <w:color w:val="000000"/>
                <w:kern w:val="0"/>
                <w:szCs w:val="21"/>
              </w:rPr>
              <w:t>　</w:t>
            </w:r>
          </w:p>
        </w:tc>
        <w:tc>
          <w:tcPr>
            <w:tcW w:w="568"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442" w:type="dxa"/>
            <w:noWrap w:val="0"/>
            <w:vAlign w:val="top"/>
          </w:tcPr>
          <w:p>
            <w:pPr>
              <w:widowControl/>
              <w:jc w:val="left"/>
              <w:rPr>
                <w:rFonts w:ascii="宋体" w:hAnsi="宋体" w:eastAsia="宋体"/>
                <w:color w:val="000000"/>
                <w:kern w:val="0"/>
                <w:szCs w:val="21"/>
              </w:rPr>
            </w:pPr>
          </w:p>
        </w:tc>
        <w:tc>
          <w:tcPr>
            <w:tcW w:w="679"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742"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406"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400"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650"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483"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733"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600"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534"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583"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583" w:type="dxa"/>
            <w:noWrap w:val="0"/>
            <w:tcMar>
              <w:left w:w="57" w:type="dxa"/>
              <w:right w:w="57" w:type="dxa"/>
            </w:tcMar>
            <w:vAlign w:val="center"/>
          </w:tcPr>
          <w:p>
            <w:pPr>
              <w:widowControl/>
              <w:jc w:val="left"/>
              <w:rPr>
                <w:rFonts w:ascii="宋体" w:hAnsi="宋体" w:eastAsia="宋体"/>
                <w:color w:val="000000"/>
                <w:kern w:val="0"/>
                <w:szCs w:val="21"/>
              </w:rPr>
            </w:pPr>
          </w:p>
        </w:tc>
        <w:tc>
          <w:tcPr>
            <w:tcW w:w="534" w:type="dxa"/>
            <w:noWrap w:val="0"/>
            <w:tcMar>
              <w:left w:w="57" w:type="dxa"/>
              <w:right w:w="57" w:type="dxa"/>
            </w:tcMar>
            <w:vAlign w:val="center"/>
          </w:tcPr>
          <w:p>
            <w:pPr>
              <w:widowControl/>
              <w:jc w:val="left"/>
              <w:rPr>
                <w:rFonts w:ascii="宋体" w:hAnsi="宋体" w:eastAsia="宋体"/>
                <w:color w:val="000000"/>
                <w:kern w:val="0"/>
                <w:szCs w:val="21"/>
              </w:rPr>
            </w:pPr>
            <w:r>
              <w:rPr>
                <w:rFonts w:ascii="宋体" w:hAnsi="宋体" w:eastAsia="宋体"/>
                <w:color w:val="000000"/>
                <w:kern w:val="0"/>
                <w:szCs w:val="21"/>
              </w:rPr>
              <w:t>　</w:t>
            </w:r>
          </w:p>
        </w:tc>
        <w:tc>
          <w:tcPr>
            <w:tcW w:w="600" w:type="dxa"/>
            <w:noWrap w:val="0"/>
            <w:tcMar>
              <w:left w:w="57" w:type="dxa"/>
              <w:right w:w="57" w:type="dxa"/>
            </w:tcMar>
            <w:vAlign w:val="center"/>
          </w:tcPr>
          <w:p>
            <w:pPr>
              <w:widowControl/>
              <w:jc w:val="left"/>
              <w:rPr>
                <w:rFonts w:ascii="宋体" w:hAnsi="宋体" w:eastAsia="宋体"/>
                <w:color w:val="000000"/>
                <w:kern w:val="0"/>
                <w:szCs w:val="21"/>
              </w:rPr>
            </w:pPr>
          </w:p>
        </w:tc>
        <w:tc>
          <w:tcPr>
            <w:tcW w:w="686" w:type="dxa"/>
            <w:noWrap w:val="0"/>
            <w:tcMar>
              <w:left w:w="57" w:type="dxa"/>
              <w:right w:w="57" w:type="dxa"/>
            </w:tcMar>
            <w:vAlign w:val="center"/>
          </w:tcPr>
          <w:p>
            <w:pPr>
              <w:widowControl/>
              <w:jc w:val="left"/>
              <w:rPr>
                <w:rFonts w:ascii="宋体" w:hAnsi="宋体" w:eastAsia="宋体"/>
                <w:color w:val="000000"/>
                <w:kern w:val="0"/>
                <w:szCs w:val="21"/>
              </w:rPr>
            </w:pPr>
          </w:p>
        </w:tc>
      </w:tr>
    </w:tbl>
    <w:p>
      <w:pPr>
        <w:pStyle w:val="2"/>
        <w:spacing w:before="192" w:beforeLines="80" w:after="0" w:line="288" w:lineRule="auto"/>
        <w:ind w:left="420" w:hanging="420" w:hangingChars="200"/>
        <w:jc w:val="left"/>
        <w:rPr>
          <w:rFonts w:ascii="宋体" w:hAnsi="宋体" w:eastAsia="宋体"/>
          <w:b w:val="0"/>
          <w:sz w:val="21"/>
          <w:szCs w:val="21"/>
        </w:rPr>
      </w:pPr>
      <w:r>
        <w:rPr>
          <w:rFonts w:ascii="宋体" w:hAnsi="宋体" w:eastAsia="宋体"/>
          <w:b w:val="0"/>
          <w:sz w:val="21"/>
          <w:szCs w:val="21"/>
        </w:rPr>
        <w:t>注：1.行业类别、产品类别、炉窑类型和炉窑子类按照附件1填报</w:t>
      </w:r>
    </w:p>
    <w:p>
      <w:pPr>
        <w:pStyle w:val="2"/>
        <w:spacing w:before="0" w:after="0" w:line="288" w:lineRule="auto"/>
        <w:ind w:left="420" w:hanging="420" w:hangingChars="200"/>
        <w:jc w:val="left"/>
        <w:rPr>
          <w:rFonts w:ascii="宋体" w:hAnsi="宋体" w:eastAsia="宋体"/>
          <w:b w:val="0"/>
          <w:sz w:val="21"/>
          <w:szCs w:val="21"/>
        </w:rPr>
      </w:pPr>
      <w:r>
        <w:rPr>
          <w:rFonts w:hint="eastAsia" w:ascii="宋体" w:hAnsi="宋体" w:eastAsia="宋体"/>
          <w:b w:val="0"/>
          <w:sz w:val="21"/>
          <w:szCs w:val="21"/>
        </w:rPr>
        <w:t xml:space="preserve">    </w:t>
      </w:r>
      <w:r>
        <w:rPr>
          <w:rFonts w:ascii="宋体" w:hAnsi="宋体" w:eastAsia="宋体"/>
          <w:b w:val="0"/>
          <w:sz w:val="21"/>
          <w:szCs w:val="21"/>
        </w:rPr>
        <w:t>2.企业有多个炉窑子类的，每种炉窑子类填写一行</w:t>
      </w:r>
    </w:p>
    <w:p>
      <w:pPr>
        <w:pStyle w:val="2"/>
        <w:spacing w:before="0" w:after="0" w:line="288" w:lineRule="auto"/>
        <w:ind w:left="420" w:hanging="420" w:hangingChars="200"/>
        <w:jc w:val="left"/>
        <w:rPr>
          <w:rFonts w:ascii="宋体" w:hAnsi="宋体" w:eastAsia="宋体"/>
          <w:b w:val="0"/>
          <w:sz w:val="21"/>
          <w:szCs w:val="21"/>
        </w:rPr>
      </w:pPr>
      <w:r>
        <w:rPr>
          <w:rFonts w:hint="eastAsia" w:ascii="宋体" w:hAnsi="宋体" w:eastAsia="宋体"/>
          <w:b w:val="0"/>
          <w:sz w:val="21"/>
          <w:szCs w:val="21"/>
        </w:rPr>
        <w:t xml:space="preserve">    </w:t>
      </w:r>
      <w:r>
        <w:rPr>
          <w:rFonts w:ascii="宋体" w:hAnsi="宋体" w:eastAsia="宋体"/>
          <w:b w:val="0"/>
          <w:sz w:val="21"/>
          <w:szCs w:val="21"/>
        </w:rPr>
        <w:t>3.治理方式包括淘汰、清洁能源替代、深度治理等</w:t>
      </w:r>
    </w:p>
    <w:p>
      <w:pPr>
        <w:pStyle w:val="2"/>
        <w:spacing w:before="0" w:after="0" w:line="288" w:lineRule="auto"/>
        <w:ind w:left="420" w:hanging="420" w:hangingChars="200"/>
        <w:jc w:val="left"/>
        <w:rPr>
          <w:rFonts w:ascii="宋体" w:hAnsi="宋体" w:eastAsia="宋体"/>
          <w:b w:val="0"/>
          <w:sz w:val="21"/>
          <w:szCs w:val="21"/>
        </w:rPr>
      </w:pPr>
      <w:r>
        <w:rPr>
          <w:rFonts w:hint="eastAsia" w:ascii="宋体" w:hAnsi="宋体" w:eastAsia="宋体"/>
          <w:b w:val="0"/>
          <w:sz w:val="21"/>
          <w:szCs w:val="21"/>
        </w:rPr>
        <w:t xml:space="preserve">    </w:t>
      </w:r>
      <w:r>
        <w:rPr>
          <w:rFonts w:ascii="宋体" w:hAnsi="宋体" w:eastAsia="宋体"/>
          <w:b w:val="0"/>
          <w:sz w:val="21"/>
          <w:szCs w:val="21"/>
        </w:rPr>
        <w:t>4.替代的清洁能源类型包括天然气、电、集中供热等</w:t>
      </w:r>
    </w:p>
    <w:p>
      <w:pPr>
        <w:pStyle w:val="2"/>
        <w:spacing w:before="0" w:after="0" w:line="288" w:lineRule="auto"/>
        <w:ind w:left="420" w:hanging="420" w:hangingChars="200"/>
        <w:jc w:val="left"/>
        <w:rPr>
          <w:rFonts w:ascii="宋体" w:hAnsi="宋体" w:eastAsia="宋体"/>
          <w:b w:val="0"/>
          <w:sz w:val="21"/>
          <w:szCs w:val="21"/>
        </w:rPr>
      </w:pPr>
      <w:r>
        <w:rPr>
          <w:rFonts w:hint="eastAsia" w:ascii="宋体" w:hAnsi="宋体" w:eastAsia="宋体"/>
          <w:b w:val="0"/>
          <w:sz w:val="21"/>
          <w:szCs w:val="21"/>
        </w:rPr>
        <w:t xml:space="preserve">    </w:t>
      </w:r>
      <w:r>
        <w:rPr>
          <w:rFonts w:ascii="宋体" w:hAnsi="宋体" w:eastAsia="宋体"/>
          <w:b w:val="0"/>
          <w:sz w:val="21"/>
          <w:szCs w:val="21"/>
        </w:rPr>
        <w:t>5.深度治理措施包括脱硫脱硝除尘改造、VOCs治理以及无组织排放控制措施等</w:t>
      </w:r>
    </w:p>
    <w:p>
      <w:pPr>
        <w:rPr>
          <w:rFonts w:hint="default" w:eastAsia="宋体"/>
          <w:lang w:val="en-US" w:eastAsia="zh-CN"/>
        </w:rPr>
      </w:pPr>
      <w:r>
        <w:rPr>
          <w:rFonts w:hint="eastAsia" w:ascii="宋体" w:hAnsi="宋体" w:eastAsia="宋体"/>
          <w:b w:val="0"/>
          <w:sz w:val="21"/>
          <w:szCs w:val="21"/>
          <w:lang w:val="en-US" w:eastAsia="zh-CN"/>
        </w:rPr>
        <w:t xml:space="preserve">    6.计划完成时间要与国家和我省已有政策一致，可提前但不能延后。</w:t>
      </w:r>
    </w:p>
    <w:p>
      <w:pPr>
        <w:rPr>
          <w:rFonts w:hint="default"/>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BD46"/>
    <w:multiLevelType w:val="singleLevel"/>
    <w:tmpl w:val="075FBD46"/>
    <w:lvl w:ilvl="0" w:tentative="0">
      <w:start w:val="2"/>
      <w:numFmt w:val="chineseCounting"/>
      <w:suff w:val="nothing"/>
      <w:lvlText w:val="%1、"/>
      <w:lvlJc w:val="left"/>
      <w:rPr>
        <w:rFonts w:hint="eastAsia"/>
      </w:rPr>
    </w:lvl>
  </w:abstractNum>
  <w:abstractNum w:abstractNumId="1">
    <w:nsid w:val="646260FA"/>
    <w:multiLevelType w:val="multilevel"/>
    <w:tmpl w:val="646260FA"/>
    <w:lvl w:ilvl="0" w:tentative="0">
      <w:start w:val="1"/>
      <w:numFmt w:val="decimal"/>
      <w:pStyle w:val="1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83410"/>
    <w:rsid w:val="03BC71B9"/>
    <w:rsid w:val="05B86F76"/>
    <w:rsid w:val="05FD125A"/>
    <w:rsid w:val="06224077"/>
    <w:rsid w:val="0A740942"/>
    <w:rsid w:val="11E83410"/>
    <w:rsid w:val="13E800A9"/>
    <w:rsid w:val="14426D42"/>
    <w:rsid w:val="17377224"/>
    <w:rsid w:val="18956CFA"/>
    <w:rsid w:val="1EBE5E11"/>
    <w:rsid w:val="23AE1F16"/>
    <w:rsid w:val="2C9A007E"/>
    <w:rsid w:val="2D961DA1"/>
    <w:rsid w:val="35AF3519"/>
    <w:rsid w:val="39A01815"/>
    <w:rsid w:val="3CCB596A"/>
    <w:rsid w:val="3F4A69E0"/>
    <w:rsid w:val="42CC5FA8"/>
    <w:rsid w:val="47AC50B5"/>
    <w:rsid w:val="497C7356"/>
    <w:rsid w:val="521E3368"/>
    <w:rsid w:val="529E379A"/>
    <w:rsid w:val="533F1E03"/>
    <w:rsid w:val="5BD86A90"/>
    <w:rsid w:val="666008A3"/>
    <w:rsid w:val="689760E2"/>
    <w:rsid w:val="6E256AB3"/>
    <w:rsid w:val="6F356F53"/>
    <w:rsid w:val="6FE200DF"/>
    <w:rsid w:val="70450E18"/>
    <w:rsid w:val="7AD906ED"/>
    <w:rsid w:val="7E7B0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napToGrid w:val="0"/>
      <w:spacing w:before="260" w:after="260" w:line="413" w:lineRule="auto"/>
      <w:ind w:firstLine="200" w:firstLineChars="200"/>
      <w:outlineLvl w:val="1"/>
    </w:pPr>
    <w:rPr>
      <w:rFonts w:ascii="等线 Light" w:hAnsi="等线 Light" w:eastAsia="等线 Light"/>
      <w:b/>
      <w:bCs/>
      <w:kern w:val="0"/>
      <w:sz w:val="32"/>
      <w:szCs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paragraph" w:customStyle="1" w:styleId="10">
    <w:name w:val="正文表标题"/>
    <w:next w:val="1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纯文本1"/>
    <w:basedOn w:val="1"/>
    <w:qFormat/>
    <w:uiPriority w:val="0"/>
    <w:rPr>
      <w:rFonts w:ascii="宋体" w:hAnsi="Courier New" w:cs="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山西省环境保护厅土壤处</Company>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2019-05-06T08:40:00Z</dcterms:created>
  <dc:creator>山西贺中伟</dc:creator>
  <cp:lastModifiedBy>lenovo</cp:lastModifiedBy>
  <cp:lastPrinted>2019-09-09T09:55:01Z</cp:lastPrinted>
  <dcterms:modified xsi:type="dcterms:W3CDTF">2019-09-09T09:58:39Z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